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8EB5C" w14:textId="77777777" w:rsidR="002A3AC9" w:rsidRDefault="00EC5E4D">
      <w:pPr>
        <w:pStyle w:val="WW-Szvegtrzs2121"/>
        <w:spacing w:line="240" w:lineRule="auto"/>
        <w:rPr>
          <w:szCs w:val="22"/>
          <w:lang w:val="hu-HU"/>
        </w:rPr>
      </w:pPr>
      <w:r>
        <w:rPr>
          <w:szCs w:val="22"/>
          <w:lang w:val="hu-HU"/>
        </w:rPr>
        <w:t>1.</w:t>
      </w:r>
      <w:r>
        <w:rPr>
          <w:szCs w:val="22"/>
          <w:lang w:val="hu-HU"/>
        </w:rPr>
        <w:tab/>
        <w:t>A GYÓGYSZER NEVE</w:t>
      </w:r>
    </w:p>
    <w:p w14:paraId="0A8A178B" w14:textId="77777777" w:rsidR="002A3AC9" w:rsidRDefault="002A3AC9">
      <w:pPr>
        <w:rPr>
          <w:sz w:val="22"/>
          <w:szCs w:val="22"/>
        </w:rPr>
      </w:pPr>
    </w:p>
    <w:p w14:paraId="06859893" w14:textId="77777777" w:rsidR="002A3AC9" w:rsidRDefault="00EC5E4D">
      <w:pPr>
        <w:tabs>
          <w:tab w:val="left" w:pos="567"/>
        </w:tabs>
        <w:rPr>
          <w:sz w:val="22"/>
          <w:szCs w:val="22"/>
        </w:rPr>
      </w:pPr>
      <w:r>
        <w:rPr>
          <w:sz w:val="22"/>
          <w:szCs w:val="22"/>
        </w:rPr>
        <w:t xml:space="preserve">Fromilid 125 mg/5 ml granulátum </w:t>
      </w:r>
      <w:bookmarkStart w:id="0" w:name="OLE_LINK1"/>
      <w:bookmarkStart w:id="1" w:name="OLE_LINK2"/>
      <w:r>
        <w:rPr>
          <w:sz w:val="22"/>
          <w:szCs w:val="22"/>
        </w:rPr>
        <w:t xml:space="preserve">belsőleges </w:t>
      </w:r>
      <w:bookmarkEnd w:id="0"/>
      <w:bookmarkEnd w:id="1"/>
      <w:r>
        <w:rPr>
          <w:sz w:val="22"/>
          <w:szCs w:val="22"/>
        </w:rPr>
        <w:t>szuszpenzióhoz</w:t>
      </w:r>
    </w:p>
    <w:p w14:paraId="4E3AE910" w14:textId="77777777" w:rsidR="002A3AC9" w:rsidRDefault="002A3AC9">
      <w:pPr>
        <w:tabs>
          <w:tab w:val="left" w:pos="567"/>
        </w:tabs>
        <w:rPr>
          <w:sz w:val="22"/>
          <w:szCs w:val="22"/>
        </w:rPr>
      </w:pPr>
    </w:p>
    <w:p w14:paraId="450BE45A" w14:textId="77777777" w:rsidR="002A3AC9" w:rsidRDefault="002A3AC9">
      <w:pPr>
        <w:tabs>
          <w:tab w:val="left" w:pos="567"/>
        </w:tabs>
        <w:rPr>
          <w:sz w:val="22"/>
          <w:szCs w:val="22"/>
        </w:rPr>
      </w:pPr>
    </w:p>
    <w:p w14:paraId="74442CDB" w14:textId="77777777" w:rsidR="002A3AC9" w:rsidRDefault="00EC5E4D">
      <w:pPr>
        <w:tabs>
          <w:tab w:val="left" w:pos="567"/>
        </w:tabs>
        <w:rPr>
          <w:b/>
          <w:sz w:val="22"/>
          <w:szCs w:val="22"/>
        </w:rPr>
      </w:pPr>
      <w:r>
        <w:rPr>
          <w:b/>
          <w:sz w:val="22"/>
          <w:szCs w:val="22"/>
        </w:rPr>
        <w:t>2.</w:t>
      </w:r>
      <w:r>
        <w:rPr>
          <w:b/>
          <w:sz w:val="22"/>
          <w:szCs w:val="22"/>
        </w:rPr>
        <w:tab/>
        <w:t>MINŐSÉGI ÉS MENNYISÉGI ÖSSZETÉTEL</w:t>
      </w:r>
    </w:p>
    <w:p w14:paraId="7679B76E" w14:textId="77777777" w:rsidR="002A3AC9" w:rsidRDefault="002A3AC9">
      <w:pPr>
        <w:pStyle w:val="01"/>
        <w:tabs>
          <w:tab w:val="left" w:pos="567"/>
        </w:tabs>
        <w:spacing w:before="0" w:after="0" w:line="240" w:lineRule="auto"/>
        <w:ind w:firstLine="0"/>
        <w:rPr>
          <w:b w:val="0"/>
          <w:sz w:val="22"/>
          <w:szCs w:val="22"/>
        </w:rPr>
      </w:pPr>
    </w:p>
    <w:p w14:paraId="229A752B" w14:textId="5A8FA928" w:rsidR="002A3AC9" w:rsidRPr="00726EF8" w:rsidRDefault="00726EF8">
      <w:pPr>
        <w:rPr>
          <w:bCs/>
          <w:sz w:val="22"/>
          <w:szCs w:val="22"/>
        </w:rPr>
      </w:pPr>
      <w:r w:rsidRPr="00AC474F">
        <w:rPr>
          <w:bCs/>
          <w:sz w:val="22"/>
          <w:szCs w:val="22"/>
        </w:rPr>
        <w:t xml:space="preserve">Az elkészített szuszpenzió </w:t>
      </w:r>
      <w:r w:rsidR="00EC5E4D" w:rsidRPr="00726EF8">
        <w:rPr>
          <w:bCs/>
          <w:sz w:val="22"/>
          <w:szCs w:val="22"/>
        </w:rPr>
        <w:t>125 mg klaritromicint tartalmaz 5 ml</w:t>
      </w:r>
      <w:r>
        <w:rPr>
          <w:bCs/>
          <w:sz w:val="22"/>
          <w:szCs w:val="22"/>
        </w:rPr>
        <w:t>-enként</w:t>
      </w:r>
      <w:r w:rsidR="00EC5E4D" w:rsidRPr="00726EF8">
        <w:rPr>
          <w:bCs/>
          <w:sz w:val="22"/>
          <w:szCs w:val="22"/>
        </w:rPr>
        <w:t>.</w:t>
      </w:r>
    </w:p>
    <w:p w14:paraId="1A8DC259" w14:textId="77777777" w:rsidR="002A3AC9" w:rsidRDefault="002A3AC9">
      <w:pPr>
        <w:pStyle w:val="01"/>
        <w:tabs>
          <w:tab w:val="left" w:pos="567"/>
        </w:tabs>
        <w:spacing w:before="0" w:after="0" w:line="240" w:lineRule="auto"/>
        <w:ind w:firstLine="0"/>
        <w:rPr>
          <w:b w:val="0"/>
          <w:sz w:val="22"/>
          <w:szCs w:val="22"/>
        </w:rPr>
      </w:pPr>
    </w:p>
    <w:p w14:paraId="4B658DFF" w14:textId="67FB20A5" w:rsidR="002A3AC9" w:rsidRDefault="00EC5E4D">
      <w:pPr>
        <w:pStyle w:val="01"/>
        <w:tabs>
          <w:tab w:val="left" w:pos="567"/>
        </w:tabs>
        <w:spacing w:before="0" w:after="0" w:line="240" w:lineRule="auto"/>
        <w:ind w:firstLine="0"/>
        <w:rPr>
          <w:b w:val="0"/>
          <w:sz w:val="22"/>
          <w:szCs w:val="22"/>
          <w:u w:val="single"/>
        </w:rPr>
      </w:pPr>
      <w:r>
        <w:rPr>
          <w:b w:val="0"/>
          <w:sz w:val="22"/>
          <w:szCs w:val="22"/>
          <w:u w:val="single"/>
        </w:rPr>
        <w:t>Ismert hatású segédanyag</w:t>
      </w:r>
    </w:p>
    <w:p w14:paraId="56E45BB2" w14:textId="051C644B" w:rsidR="00726EF8" w:rsidRDefault="00726EF8" w:rsidP="00AC474F">
      <w:pPr>
        <w:pStyle w:val="01"/>
        <w:tabs>
          <w:tab w:val="left" w:pos="567"/>
          <w:tab w:val="left" w:pos="7425"/>
        </w:tabs>
        <w:spacing w:before="0" w:after="0" w:line="240" w:lineRule="auto"/>
        <w:ind w:firstLine="0"/>
        <w:rPr>
          <w:b w:val="0"/>
          <w:sz w:val="22"/>
          <w:szCs w:val="22"/>
        </w:rPr>
      </w:pPr>
      <w:r>
        <w:rPr>
          <w:b w:val="0"/>
          <w:sz w:val="22"/>
          <w:szCs w:val="22"/>
        </w:rPr>
        <w:t>Az elkészített szuszpenzió</w:t>
      </w:r>
      <w:r w:rsidRPr="00726EF8">
        <w:rPr>
          <w:b w:val="0"/>
          <w:sz w:val="22"/>
          <w:szCs w:val="22"/>
        </w:rPr>
        <w:t xml:space="preserve"> </w:t>
      </w:r>
      <w:r>
        <w:rPr>
          <w:b w:val="0"/>
          <w:sz w:val="22"/>
          <w:szCs w:val="22"/>
        </w:rPr>
        <w:t>1650,83 mg szacharózt tartalmaz 5 ml-enként.</w:t>
      </w:r>
    </w:p>
    <w:p w14:paraId="556A661D" w14:textId="77777777" w:rsidR="002A3AC9" w:rsidRDefault="002A3AC9">
      <w:pPr>
        <w:pStyle w:val="01"/>
        <w:tabs>
          <w:tab w:val="left" w:pos="567"/>
        </w:tabs>
        <w:spacing w:before="0" w:after="0" w:line="240" w:lineRule="auto"/>
        <w:ind w:firstLine="0"/>
        <w:rPr>
          <w:b w:val="0"/>
          <w:sz w:val="22"/>
          <w:szCs w:val="22"/>
        </w:rPr>
      </w:pPr>
    </w:p>
    <w:p w14:paraId="6DDC3967" w14:textId="77777777" w:rsidR="002A3AC9" w:rsidRDefault="00EC5E4D">
      <w:pPr>
        <w:pStyle w:val="WW-NormlWeb"/>
        <w:spacing w:before="0" w:after="0" w:line="240" w:lineRule="auto"/>
        <w:rPr>
          <w:rFonts w:ascii="Times New Roman" w:hAnsi="Times New Roman"/>
          <w:sz w:val="22"/>
          <w:szCs w:val="22"/>
        </w:rPr>
      </w:pPr>
      <w:r>
        <w:rPr>
          <w:rFonts w:ascii="Times New Roman" w:hAnsi="Times New Roman"/>
          <w:sz w:val="22"/>
          <w:szCs w:val="22"/>
        </w:rPr>
        <w:t>A segédanyagok teljes listáját lásd a 6.1 pontban.</w:t>
      </w:r>
    </w:p>
    <w:p w14:paraId="34932093" w14:textId="77777777" w:rsidR="002A3AC9" w:rsidRDefault="002A3AC9">
      <w:pPr>
        <w:pStyle w:val="01"/>
        <w:tabs>
          <w:tab w:val="left" w:pos="567"/>
        </w:tabs>
        <w:spacing w:before="0" w:after="0" w:line="240" w:lineRule="auto"/>
        <w:ind w:firstLine="0"/>
        <w:rPr>
          <w:b w:val="0"/>
          <w:sz w:val="22"/>
          <w:szCs w:val="22"/>
        </w:rPr>
      </w:pPr>
    </w:p>
    <w:p w14:paraId="0B55807F" w14:textId="77777777" w:rsidR="002A3AC9" w:rsidRDefault="002A3AC9">
      <w:pPr>
        <w:pStyle w:val="01"/>
        <w:tabs>
          <w:tab w:val="left" w:pos="567"/>
        </w:tabs>
        <w:spacing w:before="0" w:after="0" w:line="240" w:lineRule="auto"/>
        <w:ind w:firstLine="0"/>
        <w:rPr>
          <w:b w:val="0"/>
          <w:sz w:val="22"/>
          <w:szCs w:val="22"/>
        </w:rPr>
      </w:pPr>
    </w:p>
    <w:p w14:paraId="6A2F3A7C" w14:textId="77777777" w:rsidR="002A3AC9" w:rsidRDefault="00EC5E4D">
      <w:pPr>
        <w:pStyle w:val="01"/>
        <w:tabs>
          <w:tab w:val="left" w:pos="567"/>
        </w:tabs>
        <w:spacing w:before="0" w:after="0" w:line="240" w:lineRule="auto"/>
        <w:ind w:firstLine="0"/>
        <w:rPr>
          <w:sz w:val="22"/>
          <w:szCs w:val="22"/>
        </w:rPr>
      </w:pPr>
      <w:r>
        <w:rPr>
          <w:sz w:val="22"/>
          <w:szCs w:val="22"/>
        </w:rPr>
        <w:t>3.</w:t>
      </w:r>
      <w:r>
        <w:rPr>
          <w:sz w:val="22"/>
          <w:szCs w:val="22"/>
        </w:rPr>
        <w:tab/>
        <w:t>GYÓGYSZERFORMA</w:t>
      </w:r>
    </w:p>
    <w:p w14:paraId="30E3A9A6" w14:textId="77777777" w:rsidR="002A3AC9" w:rsidRDefault="002A3AC9">
      <w:pPr>
        <w:tabs>
          <w:tab w:val="left" w:pos="567"/>
        </w:tabs>
        <w:rPr>
          <w:i/>
          <w:sz w:val="22"/>
          <w:szCs w:val="22"/>
        </w:rPr>
      </w:pPr>
    </w:p>
    <w:p w14:paraId="5F3502EF" w14:textId="501165B4" w:rsidR="002A3AC9" w:rsidRPr="00AC474F" w:rsidRDefault="00EC5E4D">
      <w:pPr>
        <w:tabs>
          <w:tab w:val="left" w:pos="567"/>
        </w:tabs>
        <w:rPr>
          <w:iCs/>
          <w:sz w:val="22"/>
          <w:szCs w:val="22"/>
        </w:rPr>
      </w:pPr>
      <w:r w:rsidRPr="00AC474F">
        <w:rPr>
          <w:iCs/>
          <w:sz w:val="22"/>
          <w:szCs w:val="22"/>
        </w:rPr>
        <w:t>Granulátum belsőleges szuszpenzióhoz</w:t>
      </w:r>
      <w:r w:rsidR="00726EF8" w:rsidRPr="00AC474F">
        <w:rPr>
          <w:iCs/>
          <w:sz w:val="22"/>
          <w:szCs w:val="22"/>
        </w:rPr>
        <w:t>.</w:t>
      </w:r>
    </w:p>
    <w:p w14:paraId="1A672E8C" w14:textId="77777777" w:rsidR="002A3AC9" w:rsidRPr="00AC474F" w:rsidRDefault="002A3AC9">
      <w:pPr>
        <w:tabs>
          <w:tab w:val="left" w:pos="567"/>
        </w:tabs>
        <w:rPr>
          <w:bCs/>
          <w:sz w:val="22"/>
          <w:szCs w:val="22"/>
        </w:rPr>
      </w:pPr>
    </w:p>
    <w:p w14:paraId="03717306" w14:textId="77777777" w:rsidR="002A3AC9" w:rsidRDefault="00EC5E4D">
      <w:pPr>
        <w:tabs>
          <w:tab w:val="left" w:pos="567"/>
        </w:tabs>
        <w:rPr>
          <w:sz w:val="22"/>
          <w:szCs w:val="22"/>
        </w:rPr>
      </w:pPr>
      <w:smartTag w:uri="urn:schemas-microsoft-com:office:smarttags" w:element="metricconverter">
        <w:smartTagPr>
          <w:attr w:name="ProductID" w:val="25ﾠg"/>
        </w:smartTagPr>
        <w:r>
          <w:rPr>
            <w:sz w:val="22"/>
            <w:szCs w:val="22"/>
          </w:rPr>
          <w:t>25 g</w:t>
        </w:r>
      </w:smartTag>
      <w:r>
        <w:rPr>
          <w:sz w:val="22"/>
          <w:szCs w:val="22"/>
        </w:rPr>
        <w:t xml:space="preserve"> apró, nem egységes szemcsenagyságú, fehér vagy csaknem fehér, banán illatú granulátum.</w:t>
      </w:r>
    </w:p>
    <w:p w14:paraId="32566F91" w14:textId="77777777" w:rsidR="002A3AC9" w:rsidRDefault="002A3AC9">
      <w:pPr>
        <w:tabs>
          <w:tab w:val="left" w:pos="567"/>
        </w:tabs>
        <w:rPr>
          <w:sz w:val="22"/>
          <w:szCs w:val="22"/>
        </w:rPr>
      </w:pPr>
    </w:p>
    <w:p w14:paraId="3902E4F8" w14:textId="77777777" w:rsidR="002A3AC9" w:rsidRDefault="002A3AC9">
      <w:pPr>
        <w:tabs>
          <w:tab w:val="left" w:pos="567"/>
        </w:tabs>
        <w:rPr>
          <w:sz w:val="22"/>
          <w:szCs w:val="22"/>
        </w:rPr>
      </w:pPr>
    </w:p>
    <w:p w14:paraId="3F16C906" w14:textId="77777777" w:rsidR="002A3AC9" w:rsidRDefault="00EC5E4D">
      <w:pPr>
        <w:tabs>
          <w:tab w:val="left" w:pos="567"/>
        </w:tabs>
        <w:rPr>
          <w:b/>
          <w:sz w:val="22"/>
          <w:szCs w:val="22"/>
        </w:rPr>
      </w:pPr>
      <w:r>
        <w:rPr>
          <w:b/>
          <w:sz w:val="22"/>
          <w:szCs w:val="22"/>
        </w:rPr>
        <w:t>4.</w:t>
      </w:r>
      <w:r>
        <w:rPr>
          <w:b/>
          <w:sz w:val="22"/>
          <w:szCs w:val="22"/>
        </w:rPr>
        <w:tab/>
        <w:t>KLINIKAI JELLEMZŐK</w:t>
      </w:r>
    </w:p>
    <w:p w14:paraId="682AB73B" w14:textId="77777777" w:rsidR="002A3AC9" w:rsidRPr="00AC474F" w:rsidRDefault="002A3AC9">
      <w:pPr>
        <w:tabs>
          <w:tab w:val="left" w:pos="567"/>
        </w:tabs>
        <w:ind w:right="-142"/>
        <w:rPr>
          <w:bCs/>
          <w:sz w:val="22"/>
          <w:szCs w:val="22"/>
        </w:rPr>
      </w:pPr>
    </w:p>
    <w:p w14:paraId="49C43A49" w14:textId="77777777" w:rsidR="002A3AC9" w:rsidRDefault="00EC5E4D">
      <w:pPr>
        <w:tabs>
          <w:tab w:val="left" w:pos="567"/>
        </w:tabs>
        <w:ind w:right="-142"/>
        <w:rPr>
          <w:b/>
          <w:sz w:val="22"/>
          <w:szCs w:val="22"/>
        </w:rPr>
      </w:pPr>
      <w:r>
        <w:rPr>
          <w:b/>
          <w:sz w:val="22"/>
          <w:szCs w:val="22"/>
        </w:rPr>
        <w:t>4.1</w:t>
      </w:r>
      <w:r>
        <w:rPr>
          <w:b/>
          <w:sz w:val="22"/>
          <w:szCs w:val="22"/>
        </w:rPr>
        <w:tab/>
        <w:t>Terápiás javallatok</w:t>
      </w:r>
    </w:p>
    <w:p w14:paraId="07FCD2EC" w14:textId="77777777" w:rsidR="002A3AC9" w:rsidRDefault="002A3AC9">
      <w:pPr>
        <w:tabs>
          <w:tab w:val="left" w:pos="567"/>
        </w:tabs>
        <w:rPr>
          <w:sz w:val="22"/>
          <w:szCs w:val="22"/>
        </w:rPr>
      </w:pPr>
    </w:p>
    <w:p w14:paraId="09345764" w14:textId="53FF1660" w:rsidR="002A3AC9" w:rsidRDefault="00EC5E4D">
      <w:pPr>
        <w:tabs>
          <w:tab w:val="left" w:pos="567"/>
        </w:tabs>
        <w:rPr>
          <w:sz w:val="22"/>
          <w:szCs w:val="22"/>
        </w:rPr>
      </w:pPr>
      <w:r>
        <w:rPr>
          <w:sz w:val="22"/>
          <w:szCs w:val="22"/>
        </w:rPr>
        <w:t>Klaritromicinre érzékeny kórokozók által okozott bakteriális fertőzések kezelésére javallott:</w:t>
      </w:r>
    </w:p>
    <w:p w14:paraId="5A89EFD9" w14:textId="77777777" w:rsidR="002A3AC9" w:rsidRDefault="00EC5E4D">
      <w:pPr>
        <w:numPr>
          <w:ilvl w:val="0"/>
          <w:numId w:val="15"/>
        </w:numPr>
        <w:tabs>
          <w:tab w:val="left" w:pos="540"/>
        </w:tabs>
        <w:ind w:left="540" w:hanging="540"/>
        <w:rPr>
          <w:sz w:val="22"/>
          <w:szCs w:val="22"/>
        </w:rPr>
      </w:pPr>
      <w:r>
        <w:rPr>
          <w:sz w:val="22"/>
          <w:szCs w:val="22"/>
        </w:rPr>
        <w:t>felső légúti fertőzések, például tonsillopharyngitis, otitis media, sinusitis acuta;</w:t>
      </w:r>
    </w:p>
    <w:p w14:paraId="78C33950" w14:textId="77777777" w:rsidR="002A3AC9" w:rsidRDefault="00EC5E4D">
      <w:pPr>
        <w:numPr>
          <w:ilvl w:val="0"/>
          <w:numId w:val="15"/>
        </w:numPr>
        <w:tabs>
          <w:tab w:val="left" w:pos="540"/>
        </w:tabs>
        <w:ind w:left="540" w:hanging="540"/>
        <w:rPr>
          <w:sz w:val="22"/>
          <w:szCs w:val="22"/>
        </w:rPr>
      </w:pPr>
      <w:r>
        <w:rPr>
          <w:sz w:val="22"/>
          <w:szCs w:val="22"/>
        </w:rPr>
        <w:t>alsó légúti fertőzések, például akut bakteriális bronchitis, krónikus bronchitis akut exacerbatiója,</w:t>
      </w:r>
    </w:p>
    <w:p w14:paraId="747A97F6" w14:textId="77777777" w:rsidR="002A3AC9" w:rsidRDefault="00EC5E4D">
      <w:pPr>
        <w:numPr>
          <w:ilvl w:val="0"/>
          <w:numId w:val="15"/>
        </w:numPr>
        <w:tabs>
          <w:tab w:val="left" w:pos="540"/>
        </w:tabs>
        <w:ind w:left="540" w:hanging="540"/>
        <w:rPr>
          <w:sz w:val="22"/>
          <w:szCs w:val="22"/>
        </w:rPr>
      </w:pPr>
      <w:r>
        <w:rPr>
          <w:sz w:val="22"/>
          <w:szCs w:val="22"/>
        </w:rPr>
        <w:t>területen szerzett pneumonia, atípusos kórokozók által előidézett pneumonia;</w:t>
      </w:r>
    </w:p>
    <w:p w14:paraId="1E24B9C5" w14:textId="77777777" w:rsidR="002A3AC9" w:rsidRDefault="00EC5E4D">
      <w:pPr>
        <w:numPr>
          <w:ilvl w:val="0"/>
          <w:numId w:val="15"/>
        </w:numPr>
        <w:tabs>
          <w:tab w:val="left" w:pos="540"/>
        </w:tabs>
        <w:ind w:left="540" w:hanging="540"/>
        <w:rPr>
          <w:sz w:val="22"/>
          <w:szCs w:val="22"/>
        </w:rPr>
      </w:pPr>
      <w:r>
        <w:rPr>
          <w:sz w:val="22"/>
          <w:szCs w:val="22"/>
        </w:rPr>
        <w:t>bőr- és lágyrészfertőzések;</w:t>
      </w:r>
    </w:p>
    <w:p w14:paraId="01F788B9" w14:textId="77777777" w:rsidR="002A3AC9" w:rsidRDefault="00EC5E4D">
      <w:pPr>
        <w:numPr>
          <w:ilvl w:val="0"/>
          <w:numId w:val="15"/>
        </w:numPr>
        <w:tabs>
          <w:tab w:val="left" w:pos="540"/>
        </w:tabs>
        <w:ind w:left="540" w:hanging="540"/>
        <w:rPr>
          <w:sz w:val="22"/>
          <w:szCs w:val="22"/>
        </w:rPr>
      </w:pPr>
      <w:r>
        <w:rPr>
          <w:sz w:val="22"/>
          <w:szCs w:val="22"/>
        </w:rPr>
        <w:t>Mycobacteriumok (</w:t>
      </w:r>
      <w:r>
        <w:rPr>
          <w:i/>
          <w:sz w:val="22"/>
          <w:szCs w:val="22"/>
        </w:rPr>
        <w:t>M. avium</w:t>
      </w:r>
      <w:r>
        <w:rPr>
          <w:sz w:val="22"/>
          <w:szCs w:val="22"/>
        </w:rPr>
        <w:t xml:space="preserve"> komplex, </w:t>
      </w:r>
      <w:r>
        <w:rPr>
          <w:i/>
          <w:sz w:val="22"/>
          <w:szCs w:val="22"/>
        </w:rPr>
        <w:t>M. kansasii</w:t>
      </w:r>
      <w:r>
        <w:rPr>
          <w:sz w:val="22"/>
          <w:szCs w:val="22"/>
        </w:rPr>
        <w:t xml:space="preserve">, </w:t>
      </w:r>
      <w:r>
        <w:rPr>
          <w:i/>
          <w:sz w:val="22"/>
          <w:szCs w:val="22"/>
        </w:rPr>
        <w:t>M. marinum</w:t>
      </w:r>
      <w:r>
        <w:rPr>
          <w:sz w:val="22"/>
          <w:szCs w:val="22"/>
        </w:rPr>
        <w:t xml:space="preserve">, </w:t>
      </w:r>
      <w:r>
        <w:rPr>
          <w:i/>
          <w:sz w:val="22"/>
          <w:szCs w:val="22"/>
        </w:rPr>
        <w:t>M. leprae</w:t>
      </w:r>
      <w:r>
        <w:rPr>
          <w:sz w:val="22"/>
          <w:szCs w:val="22"/>
        </w:rPr>
        <w:t>) okozta fertőzések;</w:t>
      </w:r>
    </w:p>
    <w:p w14:paraId="1044BFA2" w14:textId="77777777" w:rsidR="002A3AC9" w:rsidRDefault="00EC5E4D">
      <w:pPr>
        <w:numPr>
          <w:ilvl w:val="0"/>
          <w:numId w:val="15"/>
        </w:numPr>
        <w:tabs>
          <w:tab w:val="left" w:pos="540"/>
        </w:tabs>
        <w:ind w:left="540" w:hanging="540"/>
        <w:rPr>
          <w:sz w:val="22"/>
          <w:szCs w:val="22"/>
        </w:rPr>
      </w:pPr>
      <w:r>
        <w:rPr>
          <w:i/>
          <w:sz w:val="22"/>
          <w:szCs w:val="22"/>
        </w:rPr>
        <w:t>Mycobacterium avium</w:t>
      </w:r>
      <w:r>
        <w:rPr>
          <w:sz w:val="22"/>
          <w:szCs w:val="22"/>
        </w:rPr>
        <w:t xml:space="preserve"> okozta fertőzések, illetve tovaterjedésük megelőzése más Mycobacterium elleni gyógyszerrel kombinálva (például AIDS betegeknél);</w:t>
      </w:r>
    </w:p>
    <w:p w14:paraId="38785397" w14:textId="77777777" w:rsidR="002A3AC9" w:rsidRDefault="00EC5E4D">
      <w:pPr>
        <w:numPr>
          <w:ilvl w:val="0"/>
          <w:numId w:val="15"/>
        </w:numPr>
        <w:tabs>
          <w:tab w:val="left" w:pos="540"/>
        </w:tabs>
        <w:ind w:left="540" w:hanging="540"/>
        <w:rPr>
          <w:sz w:val="22"/>
          <w:szCs w:val="22"/>
        </w:rPr>
      </w:pPr>
      <w:r>
        <w:rPr>
          <w:i/>
          <w:sz w:val="22"/>
          <w:szCs w:val="22"/>
        </w:rPr>
        <w:t>Helicobacter pylori</w:t>
      </w:r>
      <w:r>
        <w:rPr>
          <w:sz w:val="22"/>
          <w:szCs w:val="22"/>
        </w:rPr>
        <w:t xml:space="preserve"> eradikációja nyombél- vagy gyomorfekélyben szenvedőkben (kizárólag egyéb gyógyszerekkel kombinálva).</w:t>
      </w:r>
    </w:p>
    <w:p w14:paraId="7B2B9900" w14:textId="77777777" w:rsidR="002A3AC9" w:rsidRDefault="002A3AC9">
      <w:pPr>
        <w:tabs>
          <w:tab w:val="left" w:pos="567"/>
        </w:tabs>
        <w:rPr>
          <w:sz w:val="22"/>
          <w:szCs w:val="22"/>
        </w:rPr>
      </w:pPr>
    </w:p>
    <w:p w14:paraId="52998A56" w14:textId="77777777" w:rsidR="002A3AC9" w:rsidRDefault="00EC5E4D">
      <w:pPr>
        <w:rPr>
          <w:sz w:val="22"/>
          <w:szCs w:val="22"/>
        </w:rPr>
      </w:pPr>
      <w:r>
        <w:rPr>
          <w:i/>
          <w:sz w:val="22"/>
          <w:szCs w:val="22"/>
        </w:rPr>
        <w:t>Streptococcus pyogenes</w:t>
      </w:r>
      <w:r>
        <w:rPr>
          <w:sz w:val="22"/>
          <w:szCs w:val="22"/>
        </w:rPr>
        <w:t xml:space="preserve"> által okozott tonsillopharyngitis eseteiben csak alternatív gyógyszer a Fromilid, ha penicillin vagy béta-laktám antibiotikum nem alkalmazható (például penicillin allergia esetén).</w:t>
      </w:r>
    </w:p>
    <w:p w14:paraId="675CF076" w14:textId="77777777" w:rsidR="002A3AC9" w:rsidRDefault="002A3AC9">
      <w:pPr>
        <w:rPr>
          <w:sz w:val="22"/>
          <w:szCs w:val="22"/>
        </w:rPr>
      </w:pPr>
    </w:p>
    <w:p w14:paraId="57ED2BFF" w14:textId="77777777" w:rsidR="002A3AC9" w:rsidRDefault="00EC5E4D">
      <w:pPr>
        <w:rPr>
          <w:sz w:val="22"/>
          <w:szCs w:val="22"/>
        </w:rPr>
      </w:pPr>
      <w:r>
        <w:rPr>
          <w:sz w:val="22"/>
          <w:szCs w:val="22"/>
        </w:rPr>
        <w:t>A granulátum belsőleges szuszpenzióhoz 6 hónapos – 12 éves gyermekek kezelésére javallott.</w:t>
      </w:r>
    </w:p>
    <w:p w14:paraId="40BDAE21" w14:textId="77777777" w:rsidR="002A3AC9" w:rsidRDefault="002A3AC9">
      <w:pPr>
        <w:rPr>
          <w:sz w:val="22"/>
          <w:szCs w:val="22"/>
        </w:rPr>
      </w:pPr>
    </w:p>
    <w:p w14:paraId="47CDEF52" w14:textId="77777777" w:rsidR="002A3AC9" w:rsidRDefault="00EC5E4D">
      <w:pPr>
        <w:rPr>
          <w:sz w:val="22"/>
          <w:szCs w:val="22"/>
        </w:rPr>
      </w:pPr>
      <w:r>
        <w:rPr>
          <w:sz w:val="22"/>
          <w:szCs w:val="22"/>
        </w:rPr>
        <w:t>Az antibiotikumok megfelelő alkalmazására vonatkozó hivatalos irányelveket a kezelés során figyelembe kell venni.</w:t>
      </w:r>
    </w:p>
    <w:p w14:paraId="4262F3A2" w14:textId="77777777" w:rsidR="002A3AC9" w:rsidRDefault="002A3AC9">
      <w:pPr>
        <w:tabs>
          <w:tab w:val="left" w:pos="567"/>
        </w:tabs>
        <w:rPr>
          <w:sz w:val="22"/>
          <w:szCs w:val="22"/>
        </w:rPr>
      </w:pPr>
    </w:p>
    <w:p w14:paraId="69295555" w14:textId="77777777" w:rsidR="002A3AC9" w:rsidRDefault="00EC5E4D">
      <w:pPr>
        <w:tabs>
          <w:tab w:val="left" w:pos="708"/>
        </w:tabs>
        <w:ind w:left="567" w:hanging="567"/>
        <w:rPr>
          <w:b/>
          <w:sz w:val="22"/>
          <w:szCs w:val="22"/>
        </w:rPr>
      </w:pPr>
      <w:r>
        <w:rPr>
          <w:b/>
          <w:sz w:val="22"/>
          <w:szCs w:val="22"/>
        </w:rPr>
        <w:t>4.2</w:t>
      </w:r>
      <w:r>
        <w:rPr>
          <w:b/>
          <w:sz w:val="22"/>
          <w:szCs w:val="22"/>
        </w:rPr>
        <w:tab/>
        <w:t>Adagolás és alkalmazás</w:t>
      </w:r>
    </w:p>
    <w:p w14:paraId="71BB82A8" w14:textId="77777777" w:rsidR="002A3AC9" w:rsidRDefault="002A3AC9">
      <w:pPr>
        <w:tabs>
          <w:tab w:val="left" w:pos="567"/>
        </w:tabs>
        <w:rPr>
          <w:sz w:val="22"/>
          <w:szCs w:val="22"/>
        </w:rPr>
      </w:pPr>
    </w:p>
    <w:p w14:paraId="41904CA2" w14:textId="77777777" w:rsidR="002A3AC9" w:rsidRDefault="00EC5E4D">
      <w:pPr>
        <w:tabs>
          <w:tab w:val="left" w:pos="567"/>
        </w:tabs>
        <w:rPr>
          <w:sz w:val="22"/>
          <w:szCs w:val="22"/>
          <w:u w:val="single"/>
        </w:rPr>
      </w:pPr>
      <w:r>
        <w:rPr>
          <w:sz w:val="22"/>
          <w:szCs w:val="22"/>
          <w:u w:val="single"/>
        </w:rPr>
        <w:t>Adagolás</w:t>
      </w:r>
    </w:p>
    <w:p w14:paraId="33B90E7C" w14:textId="77777777" w:rsidR="001B6F3F" w:rsidRDefault="001B6F3F">
      <w:pPr>
        <w:tabs>
          <w:tab w:val="left" w:pos="567"/>
        </w:tabs>
        <w:rPr>
          <w:sz w:val="22"/>
          <w:szCs w:val="22"/>
        </w:rPr>
      </w:pPr>
    </w:p>
    <w:p w14:paraId="4501A52E" w14:textId="118B5966" w:rsidR="001B6F3F" w:rsidRPr="00AC474F" w:rsidRDefault="001B6F3F">
      <w:pPr>
        <w:tabs>
          <w:tab w:val="left" w:pos="567"/>
        </w:tabs>
        <w:rPr>
          <w:i/>
          <w:iCs/>
          <w:sz w:val="22"/>
          <w:szCs w:val="22"/>
        </w:rPr>
      </w:pPr>
      <w:r>
        <w:rPr>
          <w:i/>
          <w:iCs/>
          <w:sz w:val="22"/>
          <w:szCs w:val="22"/>
        </w:rPr>
        <w:t>12 évesnél idősebb gyermekek, serdülők, f</w:t>
      </w:r>
      <w:r w:rsidRPr="00AC474F">
        <w:rPr>
          <w:i/>
          <w:iCs/>
          <w:sz w:val="22"/>
          <w:szCs w:val="22"/>
        </w:rPr>
        <w:t>elnőttek és idősek</w:t>
      </w:r>
    </w:p>
    <w:p w14:paraId="58751B29" w14:textId="6A9F2883" w:rsidR="001B6F3F" w:rsidRPr="00AC474F" w:rsidRDefault="001B6F3F" w:rsidP="001B6F3F">
      <w:pPr>
        <w:tabs>
          <w:tab w:val="left" w:pos="567"/>
        </w:tabs>
        <w:rPr>
          <w:sz w:val="22"/>
          <w:szCs w:val="22"/>
        </w:rPr>
      </w:pPr>
      <w:r w:rsidRPr="00AC474F">
        <w:rPr>
          <w:sz w:val="22"/>
          <w:szCs w:val="22"/>
        </w:rPr>
        <w:t xml:space="preserve">12 évesnél idősebb gyermekek, serdülők, felnőttek és idősek kezelésére a </w:t>
      </w:r>
      <w:r w:rsidR="00B260EE">
        <w:rPr>
          <w:sz w:val="22"/>
          <w:szCs w:val="22"/>
        </w:rPr>
        <w:t>film</w:t>
      </w:r>
      <w:r w:rsidRPr="00AC474F">
        <w:rPr>
          <w:sz w:val="22"/>
          <w:szCs w:val="22"/>
        </w:rPr>
        <w:t>tabletta gyógyszerforma javall</w:t>
      </w:r>
      <w:r>
        <w:rPr>
          <w:sz w:val="22"/>
          <w:szCs w:val="22"/>
        </w:rPr>
        <w:t>ot</w:t>
      </w:r>
      <w:r w:rsidRPr="00AC474F">
        <w:rPr>
          <w:sz w:val="22"/>
          <w:szCs w:val="22"/>
        </w:rPr>
        <w:t>t.</w:t>
      </w:r>
    </w:p>
    <w:p w14:paraId="7CF4D38B" w14:textId="77777777" w:rsidR="002A3AC9" w:rsidRDefault="002A3AC9">
      <w:pPr>
        <w:tabs>
          <w:tab w:val="left" w:pos="567"/>
        </w:tabs>
        <w:rPr>
          <w:sz w:val="22"/>
          <w:szCs w:val="22"/>
        </w:rPr>
      </w:pPr>
    </w:p>
    <w:p w14:paraId="57647BD9" w14:textId="68FF433A" w:rsidR="002A3AC9" w:rsidRPr="00AC474F" w:rsidRDefault="001B6F3F">
      <w:pPr>
        <w:tabs>
          <w:tab w:val="left" w:pos="567"/>
        </w:tabs>
        <w:rPr>
          <w:i/>
          <w:sz w:val="22"/>
          <w:szCs w:val="22"/>
        </w:rPr>
      </w:pPr>
      <w:r>
        <w:rPr>
          <w:i/>
          <w:sz w:val="22"/>
          <w:szCs w:val="22"/>
        </w:rPr>
        <w:t>12 éves vagy fiatalabb g</w:t>
      </w:r>
      <w:r w:rsidR="00EC5E4D" w:rsidRPr="00AC474F">
        <w:rPr>
          <w:i/>
          <w:sz w:val="22"/>
          <w:szCs w:val="22"/>
        </w:rPr>
        <w:t>yermekek</w:t>
      </w:r>
    </w:p>
    <w:p w14:paraId="44F01384" w14:textId="77777777" w:rsidR="002A3AC9" w:rsidRDefault="00EC5E4D">
      <w:pPr>
        <w:autoSpaceDE w:val="0"/>
        <w:autoSpaceDN w:val="0"/>
        <w:adjustRightInd w:val="0"/>
        <w:rPr>
          <w:bCs/>
          <w:sz w:val="22"/>
          <w:szCs w:val="22"/>
        </w:rPr>
      </w:pPr>
      <w:r>
        <w:rPr>
          <w:noProof/>
          <w:sz w:val="22"/>
          <w:szCs w:val="22"/>
        </w:rPr>
        <w:lastRenderedPageBreak/>
        <w:t>6 hónapos – 12 éves gyermekek körében a klaritromicin pediátriai szuszpenzióval végeztek klinikai vizsgálatokat, e</w:t>
      </w:r>
      <w:r>
        <w:rPr>
          <w:sz w:val="22"/>
          <w:szCs w:val="22"/>
        </w:rPr>
        <w:t>zért a 12 éves és annál fiatalabb gyermekeket ilyen készítménnyel (</w:t>
      </w:r>
      <w:r>
        <w:rPr>
          <w:bCs/>
          <w:sz w:val="22"/>
          <w:szCs w:val="22"/>
        </w:rPr>
        <w:t>granulátum belsőleges szuszpenzióhoz) kell kezelni.</w:t>
      </w:r>
    </w:p>
    <w:p w14:paraId="49298712" w14:textId="77777777" w:rsidR="002A3AC9" w:rsidRDefault="00EC5E4D">
      <w:pPr>
        <w:tabs>
          <w:tab w:val="left" w:pos="567"/>
        </w:tabs>
        <w:rPr>
          <w:sz w:val="22"/>
          <w:szCs w:val="22"/>
        </w:rPr>
      </w:pPr>
      <w:r>
        <w:rPr>
          <w:sz w:val="22"/>
          <w:szCs w:val="22"/>
        </w:rPr>
        <w:t>6 hónaposnál fiatalabb csecsemőknél nem bizonyították kielégítően a klaritromicin hatásosságát és biztonságosságát.</w:t>
      </w:r>
    </w:p>
    <w:p w14:paraId="592F8864" w14:textId="77777777" w:rsidR="002A3AC9" w:rsidRDefault="002A3AC9">
      <w:pPr>
        <w:tabs>
          <w:tab w:val="left" w:pos="567"/>
        </w:tabs>
        <w:rPr>
          <w:sz w:val="22"/>
          <w:szCs w:val="22"/>
        </w:rPr>
      </w:pPr>
    </w:p>
    <w:p w14:paraId="0E7F1488" w14:textId="08CE5D63" w:rsidR="00BD2763" w:rsidRDefault="00BD2763">
      <w:pPr>
        <w:tabs>
          <w:tab w:val="left" w:pos="567"/>
        </w:tabs>
        <w:rPr>
          <w:sz w:val="22"/>
          <w:szCs w:val="22"/>
          <w:u w:val="single"/>
        </w:rPr>
      </w:pPr>
      <w:r w:rsidRPr="00BD2763">
        <w:rPr>
          <w:i/>
          <w:sz w:val="22"/>
          <w:szCs w:val="22"/>
          <w:u w:val="single"/>
        </w:rPr>
        <w:t>6 hónapos – 12 éves gyermekek</w:t>
      </w:r>
      <w:r w:rsidRPr="00BD2763" w:rsidDel="00BD2763">
        <w:rPr>
          <w:i/>
          <w:sz w:val="22"/>
          <w:szCs w:val="22"/>
          <w:u w:val="single"/>
        </w:rPr>
        <w:t xml:space="preserve"> </w:t>
      </w:r>
    </w:p>
    <w:p w14:paraId="455FCC7C" w14:textId="7AADA885" w:rsidR="00BD2763" w:rsidRPr="00AC474F" w:rsidRDefault="00BD2763">
      <w:pPr>
        <w:tabs>
          <w:tab w:val="left" w:pos="567"/>
        </w:tabs>
        <w:rPr>
          <w:i/>
          <w:iCs/>
          <w:sz w:val="22"/>
          <w:szCs w:val="22"/>
          <w:u w:val="single"/>
        </w:rPr>
      </w:pPr>
      <w:r w:rsidRPr="00AC474F">
        <w:rPr>
          <w:i/>
          <w:iCs/>
          <w:sz w:val="22"/>
          <w:szCs w:val="22"/>
          <w:u w:val="single"/>
        </w:rPr>
        <w:t>Nem Mycobacteriumok okozta fertőzések</w:t>
      </w:r>
    </w:p>
    <w:p w14:paraId="2E514AE7" w14:textId="1023B83E" w:rsidR="002A3AC9" w:rsidRDefault="00EC5E4D">
      <w:pPr>
        <w:tabs>
          <w:tab w:val="left" w:pos="567"/>
        </w:tabs>
        <w:rPr>
          <w:sz w:val="22"/>
          <w:szCs w:val="22"/>
        </w:rPr>
      </w:pPr>
      <w:r>
        <w:rPr>
          <w:sz w:val="22"/>
          <w:szCs w:val="22"/>
        </w:rPr>
        <w:t xml:space="preserve">Nem </w:t>
      </w:r>
      <w:r w:rsidRPr="00AC474F">
        <w:rPr>
          <w:i/>
          <w:iCs/>
          <w:sz w:val="22"/>
          <w:szCs w:val="22"/>
        </w:rPr>
        <w:t>Mycobacterium</w:t>
      </w:r>
      <w:r>
        <w:rPr>
          <w:sz w:val="22"/>
          <w:szCs w:val="22"/>
        </w:rPr>
        <w:t>ok okozta fertőzések esetén a szokásos napi adag 15 mg/ttkg, 2 adagra elosztva, legfeljebb 2-szer 500 mg legnagyobb adagban.</w:t>
      </w:r>
    </w:p>
    <w:p w14:paraId="7FB34FF0" w14:textId="77777777" w:rsidR="002A3AC9" w:rsidRDefault="00EC5E4D">
      <w:pPr>
        <w:tabs>
          <w:tab w:val="left" w:pos="567"/>
        </w:tabs>
        <w:rPr>
          <w:sz w:val="22"/>
          <w:szCs w:val="22"/>
        </w:rPr>
      </w:pPr>
      <w:r>
        <w:rPr>
          <w:sz w:val="22"/>
          <w:szCs w:val="22"/>
        </w:rPr>
        <w:t xml:space="preserve">A </w:t>
      </w:r>
      <w:r>
        <w:rPr>
          <w:i/>
          <w:sz w:val="22"/>
          <w:szCs w:val="22"/>
        </w:rPr>
        <w:t>per os</w:t>
      </w:r>
      <w:r>
        <w:rPr>
          <w:sz w:val="22"/>
          <w:szCs w:val="22"/>
        </w:rPr>
        <w:t xml:space="preserve"> adagolás egyszerűsítése érdekében a készítményhez mellékelt adagoló fecskendővel egyszerre 5 ml szuszpenzió adható, ez 125 mg klaritromicint tartalmaz.</w:t>
      </w:r>
    </w:p>
    <w:p w14:paraId="1D0EAA18" w14:textId="77777777" w:rsidR="002A3AC9" w:rsidRDefault="00EC5E4D">
      <w:pPr>
        <w:tabs>
          <w:tab w:val="left" w:pos="567"/>
        </w:tabs>
        <w:rPr>
          <w:sz w:val="22"/>
          <w:szCs w:val="22"/>
        </w:rPr>
      </w:pPr>
      <w:r>
        <w:rPr>
          <w:sz w:val="22"/>
          <w:szCs w:val="22"/>
        </w:rPr>
        <w:t>A fecskendőt használat után minden alkalommal vízzel kell kiöblíteni.</w:t>
      </w:r>
    </w:p>
    <w:p w14:paraId="56A01097" w14:textId="77777777" w:rsidR="002A3AC9" w:rsidRDefault="002A3AC9">
      <w:pPr>
        <w:tabs>
          <w:tab w:val="left" w:pos="567"/>
        </w:tabs>
        <w:rPr>
          <w:sz w:val="22"/>
          <w:szCs w:val="22"/>
        </w:rPr>
      </w:pPr>
    </w:p>
    <w:p w14:paraId="55A961B2" w14:textId="77777777" w:rsidR="002A3AC9" w:rsidRDefault="00EC5E4D">
      <w:pPr>
        <w:tabs>
          <w:tab w:val="left" w:pos="567"/>
        </w:tabs>
        <w:rPr>
          <w:sz w:val="22"/>
          <w:szCs w:val="22"/>
        </w:rPr>
      </w:pPr>
      <w:r>
        <w:rPr>
          <w:sz w:val="22"/>
          <w:szCs w:val="22"/>
        </w:rPr>
        <w:t>A gyermekgyógyászati adagokat a beteg testtömege alapján kell kiszámítani, a következő táblázat adatainak figyelembevételével:</w:t>
      </w:r>
    </w:p>
    <w:p w14:paraId="5E15D8A2" w14:textId="77777777" w:rsidR="002A3AC9" w:rsidRDefault="002A3AC9">
      <w:pPr>
        <w:tabs>
          <w:tab w:val="left" w:pos="567"/>
        </w:tabs>
        <w:rPr>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3357"/>
        <w:gridCol w:w="1906"/>
        <w:gridCol w:w="1906"/>
        <w:gridCol w:w="1911"/>
      </w:tblGrid>
      <w:tr w:rsidR="002A3AC9" w14:paraId="478F1012" w14:textId="77777777">
        <w:trPr>
          <w:cantSplit/>
          <w:trHeight w:val="240"/>
          <w:jc w:val="center"/>
        </w:trPr>
        <w:tc>
          <w:tcPr>
            <w:tcW w:w="3357" w:type="dxa"/>
            <w:vMerge w:val="restart"/>
            <w:tcBorders>
              <w:top w:val="single" w:sz="4" w:space="0" w:color="auto"/>
              <w:left w:val="single" w:sz="4" w:space="0" w:color="auto"/>
              <w:right w:val="single" w:sz="4" w:space="0" w:color="auto"/>
            </w:tcBorders>
            <w:tcMar>
              <w:top w:w="28" w:type="dxa"/>
              <w:left w:w="28" w:type="dxa"/>
              <w:bottom w:w="28" w:type="dxa"/>
              <w:right w:w="28" w:type="dxa"/>
            </w:tcMar>
          </w:tcPr>
          <w:p w14:paraId="07249912" w14:textId="77777777" w:rsidR="002A3AC9" w:rsidRDefault="00EC5E4D">
            <w:pPr>
              <w:keepNext/>
              <w:tabs>
                <w:tab w:val="left" w:pos="567"/>
              </w:tabs>
              <w:jc w:val="center"/>
              <w:rPr>
                <w:b/>
                <w:sz w:val="22"/>
                <w:szCs w:val="22"/>
              </w:rPr>
            </w:pPr>
            <w:r>
              <w:rPr>
                <w:b/>
                <w:sz w:val="22"/>
                <w:szCs w:val="22"/>
              </w:rPr>
              <w:t>A gyermek testtömege</w:t>
            </w:r>
          </w:p>
          <w:p w14:paraId="2210EF54" w14:textId="77777777" w:rsidR="002A3AC9" w:rsidRDefault="00EC5E4D">
            <w:pPr>
              <w:keepNext/>
              <w:tabs>
                <w:tab w:val="left" w:pos="567"/>
              </w:tabs>
              <w:jc w:val="center"/>
              <w:rPr>
                <w:b/>
                <w:sz w:val="22"/>
                <w:szCs w:val="22"/>
              </w:rPr>
            </w:pPr>
            <w:r>
              <w:rPr>
                <w:b/>
                <w:sz w:val="22"/>
                <w:szCs w:val="22"/>
              </w:rPr>
              <w:t>(ttkg)</w:t>
            </w:r>
          </w:p>
        </w:tc>
        <w:tc>
          <w:tcPr>
            <w:tcW w:w="5723" w:type="dxa"/>
            <w:gridSpan w:val="3"/>
            <w:tcBorders>
              <w:top w:val="single" w:sz="4" w:space="0" w:color="auto"/>
              <w:left w:val="single" w:sz="4" w:space="0" w:color="auto"/>
              <w:right w:val="single" w:sz="4" w:space="0" w:color="auto"/>
            </w:tcBorders>
            <w:tcMar>
              <w:top w:w="28" w:type="dxa"/>
              <w:left w:w="28" w:type="dxa"/>
              <w:bottom w:w="28" w:type="dxa"/>
              <w:right w:w="28" w:type="dxa"/>
            </w:tcMar>
          </w:tcPr>
          <w:p w14:paraId="7EBA2E4C" w14:textId="77777777" w:rsidR="002A3AC9" w:rsidRDefault="00EC5E4D">
            <w:pPr>
              <w:keepNext/>
              <w:tabs>
                <w:tab w:val="left" w:pos="567"/>
              </w:tabs>
              <w:jc w:val="center"/>
              <w:rPr>
                <w:b/>
                <w:sz w:val="22"/>
                <w:szCs w:val="22"/>
              </w:rPr>
            </w:pPr>
            <w:r>
              <w:rPr>
                <w:b/>
                <w:sz w:val="22"/>
                <w:szCs w:val="22"/>
              </w:rPr>
              <w:t xml:space="preserve">Napi adag </w:t>
            </w:r>
          </w:p>
        </w:tc>
      </w:tr>
      <w:tr w:rsidR="002A3AC9" w14:paraId="51E157F8" w14:textId="77777777">
        <w:trPr>
          <w:cantSplit/>
          <w:trHeight w:val="240"/>
          <w:jc w:val="center"/>
        </w:trPr>
        <w:tc>
          <w:tcPr>
            <w:tcW w:w="3357" w:type="dxa"/>
            <w:vMerge/>
            <w:tcBorders>
              <w:left w:val="single" w:sz="4" w:space="0" w:color="auto"/>
              <w:right w:val="single" w:sz="4" w:space="0" w:color="auto"/>
            </w:tcBorders>
            <w:tcMar>
              <w:top w:w="28" w:type="dxa"/>
              <w:left w:w="28" w:type="dxa"/>
              <w:bottom w:w="28" w:type="dxa"/>
              <w:right w:w="28" w:type="dxa"/>
            </w:tcMar>
          </w:tcPr>
          <w:p w14:paraId="5668631F" w14:textId="77777777" w:rsidR="002A3AC9" w:rsidRDefault="002A3AC9">
            <w:pPr>
              <w:keepNext/>
              <w:tabs>
                <w:tab w:val="left" w:pos="567"/>
              </w:tabs>
              <w:jc w:val="center"/>
              <w:rPr>
                <w:b/>
                <w:sz w:val="22"/>
                <w:szCs w:val="22"/>
              </w:rPr>
            </w:pPr>
          </w:p>
        </w:tc>
        <w:tc>
          <w:tcPr>
            <w:tcW w:w="1906" w:type="dxa"/>
            <w:tcBorders>
              <w:left w:val="single" w:sz="4" w:space="0" w:color="auto"/>
              <w:bottom w:val="single" w:sz="4" w:space="0" w:color="auto"/>
            </w:tcBorders>
            <w:tcMar>
              <w:top w:w="28" w:type="dxa"/>
              <w:left w:w="28" w:type="dxa"/>
              <w:bottom w:w="28" w:type="dxa"/>
              <w:right w:w="28" w:type="dxa"/>
            </w:tcMar>
          </w:tcPr>
          <w:p w14:paraId="7DAF7B44" w14:textId="77777777" w:rsidR="002A3AC9" w:rsidRDefault="00EC5E4D">
            <w:pPr>
              <w:keepNext/>
              <w:tabs>
                <w:tab w:val="left" w:pos="567"/>
              </w:tabs>
              <w:jc w:val="center"/>
              <w:rPr>
                <w:b/>
                <w:sz w:val="22"/>
                <w:szCs w:val="22"/>
              </w:rPr>
            </w:pPr>
            <w:r>
              <w:rPr>
                <w:b/>
                <w:sz w:val="22"/>
                <w:szCs w:val="22"/>
              </w:rPr>
              <w:t>(ml)</w:t>
            </w:r>
          </w:p>
        </w:tc>
        <w:tc>
          <w:tcPr>
            <w:tcW w:w="1906" w:type="dxa"/>
            <w:tcBorders>
              <w:bottom w:val="single" w:sz="4" w:space="0" w:color="auto"/>
            </w:tcBorders>
          </w:tcPr>
          <w:p w14:paraId="5018EC31" w14:textId="77777777" w:rsidR="002A3AC9" w:rsidRDefault="00EC5E4D">
            <w:pPr>
              <w:keepNext/>
              <w:tabs>
                <w:tab w:val="left" w:pos="567"/>
              </w:tabs>
              <w:jc w:val="center"/>
              <w:rPr>
                <w:b/>
                <w:sz w:val="22"/>
                <w:szCs w:val="22"/>
              </w:rPr>
            </w:pPr>
            <w:r>
              <w:rPr>
                <w:b/>
                <w:sz w:val="22"/>
                <w:szCs w:val="22"/>
              </w:rPr>
              <w:t>fecskendő</w:t>
            </w:r>
          </w:p>
        </w:tc>
        <w:tc>
          <w:tcPr>
            <w:tcW w:w="1911" w:type="dxa"/>
            <w:tcBorders>
              <w:bottom w:val="single" w:sz="4" w:space="0" w:color="auto"/>
              <w:right w:val="single" w:sz="4" w:space="0" w:color="auto"/>
            </w:tcBorders>
          </w:tcPr>
          <w:p w14:paraId="672A03D1" w14:textId="77777777" w:rsidR="002A3AC9" w:rsidRDefault="00EC5E4D">
            <w:pPr>
              <w:keepNext/>
              <w:tabs>
                <w:tab w:val="left" w:pos="567"/>
              </w:tabs>
              <w:jc w:val="center"/>
              <w:rPr>
                <w:b/>
                <w:sz w:val="22"/>
                <w:szCs w:val="22"/>
              </w:rPr>
            </w:pPr>
            <w:r>
              <w:rPr>
                <w:b/>
                <w:sz w:val="22"/>
                <w:szCs w:val="22"/>
              </w:rPr>
              <w:t>(mg)</w:t>
            </w:r>
          </w:p>
        </w:tc>
      </w:tr>
      <w:tr w:rsidR="002A3AC9" w14:paraId="46358ADA" w14:textId="77777777">
        <w:trPr>
          <w:cantSplit/>
          <w:jc w:val="center"/>
        </w:trPr>
        <w:tc>
          <w:tcPr>
            <w:tcW w:w="3357" w:type="dxa"/>
            <w:tcBorders>
              <w:top w:val="single" w:sz="1" w:space="0" w:color="000000"/>
              <w:left w:val="single" w:sz="4" w:space="0" w:color="auto"/>
              <w:bottom w:val="single" w:sz="1" w:space="0" w:color="000000"/>
              <w:right w:val="single" w:sz="1" w:space="0" w:color="000000"/>
            </w:tcBorders>
            <w:tcMar>
              <w:top w:w="28" w:type="dxa"/>
              <w:left w:w="28" w:type="dxa"/>
              <w:bottom w:w="28" w:type="dxa"/>
              <w:right w:w="28" w:type="dxa"/>
            </w:tcMar>
          </w:tcPr>
          <w:p w14:paraId="4CF8A646" w14:textId="77777777" w:rsidR="002A3AC9" w:rsidRDefault="00EC5E4D">
            <w:pPr>
              <w:keepNext/>
              <w:tabs>
                <w:tab w:val="left" w:pos="567"/>
                <w:tab w:val="decimal" w:pos="885"/>
              </w:tabs>
              <w:jc w:val="center"/>
              <w:rPr>
                <w:sz w:val="22"/>
                <w:szCs w:val="22"/>
              </w:rPr>
            </w:pPr>
            <w:r>
              <w:rPr>
                <w:sz w:val="22"/>
                <w:szCs w:val="22"/>
              </w:rPr>
              <w:t>8</w:t>
            </w:r>
          </w:p>
        </w:tc>
        <w:tc>
          <w:tcPr>
            <w:tcW w:w="1906" w:type="dxa"/>
            <w:tcBorders>
              <w:top w:val="single" w:sz="4" w:space="0" w:color="auto"/>
              <w:bottom w:val="single" w:sz="1" w:space="0" w:color="000000"/>
              <w:right w:val="single" w:sz="1" w:space="0" w:color="000000"/>
            </w:tcBorders>
            <w:tcMar>
              <w:top w:w="28" w:type="dxa"/>
              <w:left w:w="28" w:type="dxa"/>
              <w:bottom w:w="28" w:type="dxa"/>
              <w:right w:w="28" w:type="dxa"/>
            </w:tcMar>
          </w:tcPr>
          <w:p w14:paraId="7A0FBBD2" w14:textId="77777777" w:rsidR="002A3AC9" w:rsidRDefault="00EC5E4D">
            <w:pPr>
              <w:keepNext/>
              <w:tabs>
                <w:tab w:val="left" w:pos="567"/>
              </w:tabs>
              <w:jc w:val="center"/>
              <w:rPr>
                <w:sz w:val="22"/>
                <w:szCs w:val="22"/>
              </w:rPr>
            </w:pPr>
            <w:r>
              <w:rPr>
                <w:sz w:val="22"/>
                <w:szCs w:val="22"/>
              </w:rPr>
              <w:t>2×2,5</w:t>
            </w:r>
          </w:p>
        </w:tc>
        <w:tc>
          <w:tcPr>
            <w:tcW w:w="1906" w:type="dxa"/>
            <w:tcBorders>
              <w:top w:val="single" w:sz="4" w:space="0" w:color="auto"/>
              <w:bottom w:val="single" w:sz="1" w:space="0" w:color="000000"/>
              <w:right w:val="single" w:sz="1" w:space="0" w:color="000000"/>
            </w:tcBorders>
            <w:tcMar>
              <w:top w:w="28" w:type="dxa"/>
              <w:left w:w="28" w:type="dxa"/>
              <w:bottom w:w="28" w:type="dxa"/>
              <w:right w:w="28" w:type="dxa"/>
            </w:tcMar>
          </w:tcPr>
          <w:p w14:paraId="48A552D0" w14:textId="77777777" w:rsidR="002A3AC9" w:rsidRDefault="00EC5E4D">
            <w:pPr>
              <w:keepNext/>
              <w:tabs>
                <w:tab w:val="left" w:pos="567"/>
              </w:tabs>
              <w:jc w:val="center"/>
              <w:rPr>
                <w:sz w:val="22"/>
                <w:szCs w:val="22"/>
              </w:rPr>
            </w:pPr>
            <w:r>
              <w:rPr>
                <w:sz w:val="22"/>
                <w:szCs w:val="22"/>
              </w:rPr>
              <w:t>2×½</w:t>
            </w:r>
          </w:p>
        </w:tc>
        <w:tc>
          <w:tcPr>
            <w:tcW w:w="1911" w:type="dxa"/>
            <w:tcBorders>
              <w:top w:val="single" w:sz="4" w:space="0" w:color="auto"/>
              <w:bottom w:val="single" w:sz="1" w:space="0" w:color="000000"/>
              <w:right w:val="single" w:sz="4" w:space="0" w:color="auto"/>
            </w:tcBorders>
            <w:tcMar>
              <w:top w:w="28" w:type="dxa"/>
              <w:left w:w="28" w:type="dxa"/>
              <w:bottom w:w="28" w:type="dxa"/>
              <w:right w:w="28" w:type="dxa"/>
            </w:tcMar>
          </w:tcPr>
          <w:p w14:paraId="0966C238" w14:textId="77777777" w:rsidR="002A3AC9" w:rsidRDefault="00EC5E4D">
            <w:pPr>
              <w:keepNext/>
              <w:tabs>
                <w:tab w:val="left" w:pos="567"/>
              </w:tabs>
              <w:jc w:val="center"/>
              <w:rPr>
                <w:sz w:val="22"/>
                <w:szCs w:val="22"/>
              </w:rPr>
            </w:pPr>
            <w:r>
              <w:rPr>
                <w:sz w:val="22"/>
                <w:szCs w:val="22"/>
              </w:rPr>
              <w:t>2×62,5</w:t>
            </w:r>
          </w:p>
        </w:tc>
      </w:tr>
      <w:tr w:rsidR="002A3AC9" w14:paraId="559FDE1E" w14:textId="77777777">
        <w:trPr>
          <w:cantSplit/>
          <w:jc w:val="center"/>
        </w:trPr>
        <w:tc>
          <w:tcPr>
            <w:tcW w:w="3357" w:type="dxa"/>
            <w:tcBorders>
              <w:left w:val="single" w:sz="4" w:space="0" w:color="auto"/>
              <w:bottom w:val="single" w:sz="1" w:space="0" w:color="000000"/>
              <w:right w:val="single" w:sz="1" w:space="0" w:color="000000"/>
            </w:tcBorders>
            <w:tcMar>
              <w:top w:w="28" w:type="dxa"/>
              <w:left w:w="28" w:type="dxa"/>
              <w:bottom w:w="28" w:type="dxa"/>
              <w:right w:w="28" w:type="dxa"/>
            </w:tcMar>
          </w:tcPr>
          <w:p w14:paraId="0F1CA2FE" w14:textId="77777777" w:rsidR="002A3AC9" w:rsidRDefault="00EC5E4D">
            <w:pPr>
              <w:keepNext/>
              <w:tabs>
                <w:tab w:val="left" w:pos="567"/>
                <w:tab w:val="decimal" w:pos="885"/>
              </w:tabs>
              <w:jc w:val="center"/>
              <w:rPr>
                <w:sz w:val="22"/>
                <w:szCs w:val="22"/>
              </w:rPr>
            </w:pPr>
            <w:r>
              <w:rPr>
                <w:sz w:val="22"/>
                <w:szCs w:val="22"/>
              </w:rPr>
              <w:t>16</w:t>
            </w:r>
          </w:p>
        </w:tc>
        <w:tc>
          <w:tcPr>
            <w:tcW w:w="1906" w:type="dxa"/>
            <w:tcBorders>
              <w:bottom w:val="single" w:sz="1" w:space="0" w:color="000000"/>
              <w:right w:val="single" w:sz="1" w:space="0" w:color="000000"/>
            </w:tcBorders>
            <w:tcMar>
              <w:top w:w="28" w:type="dxa"/>
              <w:left w:w="28" w:type="dxa"/>
              <w:bottom w:w="28" w:type="dxa"/>
              <w:right w:w="28" w:type="dxa"/>
            </w:tcMar>
          </w:tcPr>
          <w:p w14:paraId="58A59CEC" w14:textId="77777777" w:rsidR="002A3AC9" w:rsidRDefault="00EC5E4D">
            <w:pPr>
              <w:keepNext/>
              <w:tabs>
                <w:tab w:val="left" w:pos="567"/>
              </w:tabs>
              <w:jc w:val="center"/>
              <w:rPr>
                <w:sz w:val="22"/>
                <w:szCs w:val="22"/>
              </w:rPr>
            </w:pPr>
            <w:r>
              <w:rPr>
                <w:sz w:val="22"/>
                <w:szCs w:val="22"/>
              </w:rPr>
              <w:t>2×5</w:t>
            </w:r>
          </w:p>
        </w:tc>
        <w:tc>
          <w:tcPr>
            <w:tcW w:w="1906" w:type="dxa"/>
            <w:tcBorders>
              <w:bottom w:val="single" w:sz="1" w:space="0" w:color="000000"/>
              <w:right w:val="single" w:sz="1" w:space="0" w:color="000000"/>
            </w:tcBorders>
            <w:tcMar>
              <w:top w:w="28" w:type="dxa"/>
              <w:left w:w="28" w:type="dxa"/>
              <w:bottom w:w="28" w:type="dxa"/>
              <w:right w:w="28" w:type="dxa"/>
            </w:tcMar>
          </w:tcPr>
          <w:p w14:paraId="648201D8" w14:textId="77777777" w:rsidR="002A3AC9" w:rsidRDefault="00EC5E4D">
            <w:pPr>
              <w:keepNext/>
              <w:tabs>
                <w:tab w:val="left" w:pos="567"/>
              </w:tabs>
              <w:jc w:val="center"/>
              <w:rPr>
                <w:sz w:val="22"/>
                <w:szCs w:val="22"/>
              </w:rPr>
            </w:pPr>
            <w:r>
              <w:rPr>
                <w:sz w:val="22"/>
                <w:szCs w:val="22"/>
              </w:rPr>
              <w:t>2×1</w:t>
            </w:r>
          </w:p>
        </w:tc>
        <w:tc>
          <w:tcPr>
            <w:tcW w:w="1911" w:type="dxa"/>
            <w:tcBorders>
              <w:bottom w:val="single" w:sz="1" w:space="0" w:color="000000"/>
              <w:right w:val="single" w:sz="4" w:space="0" w:color="auto"/>
            </w:tcBorders>
            <w:tcMar>
              <w:top w:w="28" w:type="dxa"/>
              <w:left w:w="28" w:type="dxa"/>
              <w:bottom w:w="28" w:type="dxa"/>
              <w:right w:w="28" w:type="dxa"/>
            </w:tcMar>
          </w:tcPr>
          <w:p w14:paraId="6A8D9BD3" w14:textId="77777777" w:rsidR="002A3AC9" w:rsidRDefault="00EC5E4D">
            <w:pPr>
              <w:keepNext/>
              <w:tabs>
                <w:tab w:val="left" w:pos="567"/>
              </w:tabs>
              <w:jc w:val="center"/>
              <w:rPr>
                <w:sz w:val="22"/>
                <w:szCs w:val="22"/>
              </w:rPr>
            </w:pPr>
            <w:r>
              <w:rPr>
                <w:sz w:val="22"/>
                <w:szCs w:val="22"/>
              </w:rPr>
              <w:t>2×125</w:t>
            </w:r>
          </w:p>
        </w:tc>
      </w:tr>
      <w:tr w:rsidR="002A3AC9" w14:paraId="65558449" w14:textId="77777777">
        <w:trPr>
          <w:cantSplit/>
          <w:jc w:val="center"/>
        </w:trPr>
        <w:tc>
          <w:tcPr>
            <w:tcW w:w="3357" w:type="dxa"/>
            <w:tcBorders>
              <w:left w:val="single" w:sz="4" w:space="0" w:color="auto"/>
              <w:bottom w:val="single" w:sz="1" w:space="0" w:color="000000"/>
              <w:right w:val="single" w:sz="1" w:space="0" w:color="000000"/>
            </w:tcBorders>
            <w:tcMar>
              <w:top w:w="28" w:type="dxa"/>
              <w:left w:w="28" w:type="dxa"/>
              <w:bottom w:w="28" w:type="dxa"/>
              <w:right w:w="28" w:type="dxa"/>
            </w:tcMar>
          </w:tcPr>
          <w:p w14:paraId="71191763" w14:textId="77777777" w:rsidR="002A3AC9" w:rsidRDefault="00EC5E4D">
            <w:pPr>
              <w:tabs>
                <w:tab w:val="left" w:pos="567"/>
                <w:tab w:val="decimal" w:pos="885"/>
              </w:tabs>
              <w:jc w:val="center"/>
              <w:rPr>
                <w:sz w:val="22"/>
                <w:szCs w:val="22"/>
              </w:rPr>
            </w:pPr>
            <w:r>
              <w:rPr>
                <w:sz w:val="22"/>
                <w:szCs w:val="22"/>
              </w:rPr>
              <w:t>24</w:t>
            </w:r>
          </w:p>
        </w:tc>
        <w:tc>
          <w:tcPr>
            <w:tcW w:w="1906" w:type="dxa"/>
            <w:tcBorders>
              <w:bottom w:val="single" w:sz="1" w:space="0" w:color="000000"/>
              <w:right w:val="single" w:sz="1" w:space="0" w:color="000000"/>
            </w:tcBorders>
            <w:tcMar>
              <w:top w:w="28" w:type="dxa"/>
              <w:left w:w="28" w:type="dxa"/>
              <w:bottom w:w="28" w:type="dxa"/>
              <w:right w:w="28" w:type="dxa"/>
            </w:tcMar>
          </w:tcPr>
          <w:p w14:paraId="6AA31FC8" w14:textId="77777777" w:rsidR="002A3AC9" w:rsidRDefault="00EC5E4D">
            <w:pPr>
              <w:tabs>
                <w:tab w:val="left" w:pos="567"/>
              </w:tabs>
              <w:jc w:val="center"/>
              <w:rPr>
                <w:sz w:val="22"/>
                <w:szCs w:val="22"/>
              </w:rPr>
            </w:pPr>
            <w:r>
              <w:rPr>
                <w:sz w:val="22"/>
                <w:szCs w:val="22"/>
              </w:rPr>
              <w:t>2×7,5</w:t>
            </w:r>
          </w:p>
        </w:tc>
        <w:tc>
          <w:tcPr>
            <w:tcW w:w="1906" w:type="dxa"/>
            <w:tcBorders>
              <w:bottom w:val="single" w:sz="1" w:space="0" w:color="000000"/>
              <w:right w:val="single" w:sz="1" w:space="0" w:color="000000"/>
            </w:tcBorders>
            <w:tcMar>
              <w:top w:w="28" w:type="dxa"/>
              <w:left w:w="28" w:type="dxa"/>
              <w:bottom w:w="28" w:type="dxa"/>
              <w:right w:w="28" w:type="dxa"/>
            </w:tcMar>
          </w:tcPr>
          <w:p w14:paraId="0F072E60" w14:textId="77777777" w:rsidR="002A3AC9" w:rsidRDefault="00EC5E4D">
            <w:pPr>
              <w:tabs>
                <w:tab w:val="left" w:pos="567"/>
              </w:tabs>
              <w:jc w:val="center"/>
              <w:rPr>
                <w:sz w:val="22"/>
                <w:szCs w:val="22"/>
              </w:rPr>
            </w:pPr>
            <w:r>
              <w:rPr>
                <w:sz w:val="22"/>
                <w:szCs w:val="22"/>
              </w:rPr>
              <w:t>2×1 és ½</w:t>
            </w:r>
          </w:p>
        </w:tc>
        <w:tc>
          <w:tcPr>
            <w:tcW w:w="1911" w:type="dxa"/>
            <w:tcBorders>
              <w:bottom w:val="single" w:sz="1" w:space="0" w:color="000000"/>
              <w:right w:val="single" w:sz="4" w:space="0" w:color="auto"/>
            </w:tcBorders>
            <w:tcMar>
              <w:top w:w="28" w:type="dxa"/>
              <w:left w:w="28" w:type="dxa"/>
              <w:bottom w:w="28" w:type="dxa"/>
              <w:right w:w="28" w:type="dxa"/>
            </w:tcMar>
          </w:tcPr>
          <w:p w14:paraId="218ACFE0" w14:textId="77777777" w:rsidR="002A3AC9" w:rsidRDefault="00EC5E4D">
            <w:pPr>
              <w:tabs>
                <w:tab w:val="left" w:pos="567"/>
              </w:tabs>
              <w:jc w:val="center"/>
              <w:rPr>
                <w:sz w:val="22"/>
                <w:szCs w:val="22"/>
              </w:rPr>
            </w:pPr>
            <w:r>
              <w:rPr>
                <w:sz w:val="22"/>
                <w:szCs w:val="22"/>
              </w:rPr>
              <w:t>2×187,5</w:t>
            </w:r>
          </w:p>
        </w:tc>
      </w:tr>
      <w:tr w:rsidR="002A3AC9" w14:paraId="33FB644C" w14:textId="77777777">
        <w:trPr>
          <w:cantSplit/>
          <w:jc w:val="center"/>
        </w:trPr>
        <w:tc>
          <w:tcPr>
            <w:tcW w:w="3357" w:type="dxa"/>
            <w:tcBorders>
              <w:left w:val="single" w:sz="4" w:space="0" w:color="auto"/>
              <w:bottom w:val="single" w:sz="4" w:space="0" w:color="auto"/>
              <w:right w:val="single" w:sz="1" w:space="0" w:color="000000"/>
            </w:tcBorders>
            <w:tcMar>
              <w:top w:w="28" w:type="dxa"/>
              <w:left w:w="28" w:type="dxa"/>
              <w:bottom w:w="28" w:type="dxa"/>
              <w:right w:w="28" w:type="dxa"/>
            </w:tcMar>
          </w:tcPr>
          <w:p w14:paraId="1CC0E267" w14:textId="77777777" w:rsidR="002A3AC9" w:rsidRDefault="00EC5E4D">
            <w:pPr>
              <w:tabs>
                <w:tab w:val="left" w:pos="567"/>
                <w:tab w:val="decimal" w:pos="885"/>
              </w:tabs>
              <w:jc w:val="center"/>
              <w:rPr>
                <w:sz w:val="22"/>
                <w:szCs w:val="22"/>
              </w:rPr>
            </w:pPr>
            <w:r>
              <w:rPr>
                <w:sz w:val="22"/>
                <w:szCs w:val="22"/>
              </w:rPr>
              <w:t>33</w:t>
            </w:r>
          </w:p>
        </w:tc>
        <w:tc>
          <w:tcPr>
            <w:tcW w:w="1906" w:type="dxa"/>
            <w:tcBorders>
              <w:bottom w:val="single" w:sz="4" w:space="0" w:color="auto"/>
              <w:right w:val="single" w:sz="1" w:space="0" w:color="000000"/>
            </w:tcBorders>
            <w:tcMar>
              <w:top w:w="28" w:type="dxa"/>
              <w:left w:w="28" w:type="dxa"/>
              <w:bottom w:w="28" w:type="dxa"/>
              <w:right w:w="28" w:type="dxa"/>
            </w:tcMar>
          </w:tcPr>
          <w:p w14:paraId="2EBA42E4" w14:textId="77777777" w:rsidR="002A3AC9" w:rsidRDefault="00EC5E4D">
            <w:pPr>
              <w:tabs>
                <w:tab w:val="left" w:pos="567"/>
              </w:tabs>
              <w:jc w:val="center"/>
              <w:rPr>
                <w:sz w:val="22"/>
                <w:szCs w:val="22"/>
              </w:rPr>
            </w:pPr>
            <w:r>
              <w:rPr>
                <w:sz w:val="22"/>
                <w:szCs w:val="22"/>
              </w:rPr>
              <w:t>2×10</w:t>
            </w:r>
          </w:p>
        </w:tc>
        <w:tc>
          <w:tcPr>
            <w:tcW w:w="1906" w:type="dxa"/>
            <w:tcBorders>
              <w:bottom w:val="single" w:sz="4" w:space="0" w:color="auto"/>
              <w:right w:val="single" w:sz="1" w:space="0" w:color="000000"/>
            </w:tcBorders>
            <w:tcMar>
              <w:top w:w="28" w:type="dxa"/>
              <w:left w:w="28" w:type="dxa"/>
              <w:bottom w:w="28" w:type="dxa"/>
              <w:right w:w="28" w:type="dxa"/>
            </w:tcMar>
          </w:tcPr>
          <w:p w14:paraId="3AA4E485" w14:textId="77777777" w:rsidR="002A3AC9" w:rsidRDefault="00EC5E4D">
            <w:pPr>
              <w:tabs>
                <w:tab w:val="left" w:pos="567"/>
              </w:tabs>
              <w:jc w:val="center"/>
              <w:rPr>
                <w:sz w:val="22"/>
                <w:szCs w:val="22"/>
              </w:rPr>
            </w:pPr>
            <w:r>
              <w:rPr>
                <w:sz w:val="22"/>
                <w:szCs w:val="22"/>
              </w:rPr>
              <w:t>2×2</w:t>
            </w:r>
          </w:p>
        </w:tc>
        <w:tc>
          <w:tcPr>
            <w:tcW w:w="1911" w:type="dxa"/>
            <w:tcBorders>
              <w:bottom w:val="single" w:sz="4" w:space="0" w:color="auto"/>
              <w:right w:val="single" w:sz="4" w:space="0" w:color="auto"/>
            </w:tcBorders>
            <w:tcMar>
              <w:top w:w="28" w:type="dxa"/>
              <w:left w:w="28" w:type="dxa"/>
              <w:bottom w:w="28" w:type="dxa"/>
              <w:right w:w="28" w:type="dxa"/>
            </w:tcMar>
          </w:tcPr>
          <w:p w14:paraId="62DF84ED" w14:textId="77777777" w:rsidR="002A3AC9" w:rsidRDefault="00EC5E4D">
            <w:pPr>
              <w:tabs>
                <w:tab w:val="left" w:pos="567"/>
              </w:tabs>
              <w:jc w:val="center"/>
              <w:rPr>
                <w:sz w:val="22"/>
                <w:szCs w:val="22"/>
              </w:rPr>
            </w:pPr>
            <w:r>
              <w:rPr>
                <w:sz w:val="22"/>
                <w:szCs w:val="22"/>
              </w:rPr>
              <w:t>2×250</w:t>
            </w:r>
          </w:p>
        </w:tc>
      </w:tr>
    </w:tbl>
    <w:p w14:paraId="4E43762D" w14:textId="77777777" w:rsidR="002A3AC9" w:rsidRDefault="002A3AC9">
      <w:pPr>
        <w:tabs>
          <w:tab w:val="left" w:pos="567"/>
        </w:tabs>
        <w:rPr>
          <w:sz w:val="22"/>
          <w:szCs w:val="22"/>
        </w:rPr>
      </w:pPr>
    </w:p>
    <w:p w14:paraId="0D196987" w14:textId="77777777" w:rsidR="002A3AC9" w:rsidRDefault="00EC5E4D">
      <w:pPr>
        <w:tabs>
          <w:tab w:val="left" w:pos="567"/>
        </w:tabs>
        <w:rPr>
          <w:sz w:val="22"/>
          <w:szCs w:val="22"/>
        </w:rPr>
      </w:pPr>
      <w:r>
        <w:rPr>
          <w:sz w:val="22"/>
          <w:szCs w:val="22"/>
        </w:rPr>
        <w:t>A kezelés szokásos időtartama 5 - 10 nap.</w:t>
      </w:r>
    </w:p>
    <w:p w14:paraId="3C67E10A" w14:textId="77777777" w:rsidR="002A3AC9" w:rsidRDefault="00EC5E4D">
      <w:pPr>
        <w:tabs>
          <w:tab w:val="left" w:pos="567"/>
        </w:tabs>
        <w:rPr>
          <w:sz w:val="22"/>
          <w:szCs w:val="22"/>
        </w:rPr>
      </w:pPr>
      <w:r>
        <w:rPr>
          <w:sz w:val="22"/>
          <w:szCs w:val="22"/>
        </w:rPr>
        <w:t>A kezelést a tünetek megszűnése után legalább 2 napig folytatni kell.</w:t>
      </w:r>
    </w:p>
    <w:p w14:paraId="78311844" w14:textId="77777777" w:rsidR="002A3AC9" w:rsidRDefault="002A3AC9">
      <w:pPr>
        <w:tabs>
          <w:tab w:val="left" w:pos="567"/>
        </w:tabs>
        <w:rPr>
          <w:sz w:val="22"/>
          <w:szCs w:val="22"/>
        </w:rPr>
      </w:pPr>
    </w:p>
    <w:p w14:paraId="0E7CEE87" w14:textId="77777777" w:rsidR="002A3AC9" w:rsidRDefault="00EC5E4D">
      <w:pPr>
        <w:tabs>
          <w:tab w:val="left" w:pos="567"/>
        </w:tabs>
        <w:rPr>
          <w:i/>
          <w:sz w:val="22"/>
          <w:szCs w:val="22"/>
        </w:rPr>
      </w:pPr>
      <w:r>
        <w:rPr>
          <w:i/>
          <w:sz w:val="22"/>
          <w:szCs w:val="22"/>
        </w:rPr>
        <w:t>M. avium komplex okozta fertőzések kezelése, illetve disszeminációjuk megelőzése</w:t>
      </w:r>
    </w:p>
    <w:p w14:paraId="69D77467" w14:textId="10B4AAA5" w:rsidR="002A3AC9" w:rsidRDefault="00EC5E4D">
      <w:pPr>
        <w:tabs>
          <w:tab w:val="left" w:pos="567"/>
        </w:tabs>
        <w:rPr>
          <w:sz w:val="22"/>
          <w:szCs w:val="22"/>
        </w:rPr>
      </w:pPr>
      <w:r>
        <w:rPr>
          <w:sz w:val="22"/>
          <w:szCs w:val="22"/>
        </w:rPr>
        <w:t xml:space="preserve">Gyermekek ajánlott napi adagja 15 mg/ttkg két részletben; a maximális napi adag </w:t>
      </w:r>
      <w:smartTag w:uri="urn:schemas-microsoft-com:office:smarttags" w:element="metricconverter">
        <w:smartTagPr>
          <w:attr w:name="ProductID" w:val="1ﾠg"/>
        </w:smartTagPr>
        <w:r>
          <w:rPr>
            <w:sz w:val="22"/>
            <w:szCs w:val="22"/>
          </w:rPr>
          <w:t>1 g</w:t>
        </w:r>
      </w:smartTag>
      <w:r>
        <w:rPr>
          <w:sz w:val="22"/>
          <w:szCs w:val="22"/>
        </w:rPr>
        <w:t xml:space="preserve">. </w:t>
      </w:r>
      <w:r>
        <w:rPr>
          <w:i/>
          <w:sz w:val="22"/>
          <w:szCs w:val="22"/>
        </w:rPr>
        <w:t>M. avium</w:t>
      </w:r>
      <w:r>
        <w:rPr>
          <w:sz w:val="22"/>
          <w:szCs w:val="22"/>
        </w:rPr>
        <w:t xml:space="preserve"> komplex okozta fertőzésekben hosszú távú kezelés szükséges.</w:t>
      </w:r>
    </w:p>
    <w:p w14:paraId="4D037286" w14:textId="77777777" w:rsidR="00BD2763" w:rsidRDefault="00BD2763">
      <w:pPr>
        <w:tabs>
          <w:tab w:val="left" w:pos="567"/>
        </w:tabs>
        <w:rPr>
          <w:sz w:val="22"/>
          <w:szCs w:val="22"/>
        </w:rPr>
      </w:pPr>
    </w:p>
    <w:p w14:paraId="74BF321D" w14:textId="77777777" w:rsidR="00BD2763" w:rsidRDefault="00BD2763" w:rsidP="00BD2763">
      <w:pPr>
        <w:tabs>
          <w:tab w:val="left" w:pos="567"/>
        </w:tabs>
        <w:rPr>
          <w:sz w:val="22"/>
          <w:szCs w:val="22"/>
        </w:rPr>
      </w:pPr>
      <w:r>
        <w:rPr>
          <w:sz w:val="22"/>
          <w:szCs w:val="22"/>
        </w:rPr>
        <w:t>Az AIDS-es betegek disszeminált MAC-fertőzésének kezelését addig kell folytatni, amíg klinikai és mikrobiológiai előny igazolható. A klaritromicint egyéb Mycobacterium elleni szerekkel együtt kell alkalmazni.</w:t>
      </w:r>
    </w:p>
    <w:p w14:paraId="65F26FC7" w14:textId="77777777" w:rsidR="00BD2763" w:rsidRDefault="00BD2763" w:rsidP="00BD2763">
      <w:pPr>
        <w:tabs>
          <w:tab w:val="left" w:pos="567"/>
        </w:tabs>
        <w:rPr>
          <w:sz w:val="22"/>
          <w:szCs w:val="22"/>
        </w:rPr>
      </w:pPr>
    </w:p>
    <w:p w14:paraId="20B71F34" w14:textId="77777777" w:rsidR="00BD2763" w:rsidRDefault="00BD2763" w:rsidP="00BD2763">
      <w:pPr>
        <w:tabs>
          <w:tab w:val="left" w:pos="567"/>
        </w:tabs>
        <w:rPr>
          <w:sz w:val="22"/>
          <w:szCs w:val="22"/>
        </w:rPr>
      </w:pPr>
      <w:r>
        <w:rPr>
          <w:sz w:val="22"/>
          <w:szCs w:val="22"/>
        </w:rPr>
        <w:t>Más nem tuberculosus Mycobacterium-fertőzések kezelését az orvos megítélése szerint kell folytatni.</w:t>
      </w:r>
    </w:p>
    <w:p w14:paraId="7AF13C81" w14:textId="77777777" w:rsidR="002A3AC9" w:rsidRDefault="002A3AC9">
      <w:pPr>
        <w:tabs>
          <w:tab w:val="left" w:pos="567"/>
        </w:tabs>
        <w:rPr>
          <w:sz w:val="22"/>
          <w:szCs w:val="22"/>
        </w:rPr>
      </w:pPr>
    </w:p>
    <w:p w14:paraId="13AB1860" w14:textId="77777777" w:rsidR="002A3AC9" w:rsidRPr="00AC474F" w:rsidRDefault="00EC5E4D">
      <w:pPr>
        <w:tabs>
          <w:tab w:val="left" w:pos="567"/>
        </w:tabs>
        <w:rPr>
          <w:i/>
          <w:sz w:val="22"/>
          <w:szCs w:val="22"/>
        </w:rPr>
      </w:pPr>
      <w:r w:rsidRPr="00AC474F">
        <w:rPr>
          <w:i/>
          <w:sz w:val="22"/>
          <w:szCs w:val="22"/>
        </w:rPr>
        <w:t>Májkárosodás</w:t>
      </w:r>
    </w:p>
    <w:p w14:paraId="25D2E9ED" w14:textId="299A544B" w:rsidR="002A3AC9" w:rsidRDefault="00EC5E4D">
      <w:pPr>
        <w:tabs>
          <w:tab w:val="left" w:pos="567"/>
        </w:tabs>
        <w:rPr>
          <w:i/>
          <w:sz w:val="22"/>
          <w:szCs w:val="22"/>
          <w:u w:val="single"/>
        </w:rPr>
      </w:pPr>
      <w:r>
        <w:rPr>
          <w:sz w:val="22"/>
          <w:szCs w:val="22"/>
        </w:rPr>
        <w:t>Amennyiben ép veseműködés mellett a májműködés enyhe-közepes mértékben károsodott,</w:t>
      </w:r>
      <w:r w:rsidR="00B0483F">
        <w:rPr>
          <w:sz w:val="22"/>
          <w:szCs w:val="22"/>
        </w:rPr>
        <w:t xml:space="preserve"> </w:t>
      </w:r>
      <w:r>
        <w:rPr>
          <w:sz w:val="22"/>
          <w:szCs w:val="22"/>
        </w:rPr>
        <w:t>a dózis módosítása nem szükséges.</w:t>
      </w:r>
    </w:p>
    <w:p w14:paraId="2764F4C7" w14:textId="77777777" w:rsidR="002A3AC9" w:rsidRDefault="002A3AC9">
      <w:pPr>
        <w:tabs>
          <w:tab w:val="left" w:pos="567"/>
        </w:tabs>
        <w:rPr>
          <w:sz w:val="22"/>
          <w:szCs w:val="22"/>
        </w:rPr>
      </w:pPr>
    </w:p>
    <w:p w14:paraId="670F3B4D" w14:textId="77777777" w:rsidR="002A3AC9" w:rsidRPr="00AC474F" w:rsidRDefault="00EC5E4D">
      <w:pPr>
        <w:tabs>
          <w:tab w:val="left" w:pos="567"/>
        </w:tabs>
        <w:rPr>
          <w:i/>
          <w:sz w:val="22"/>
          <w:szCs w:val="22"/>
        </w:rPr>
      </w:pPr>
      <w:r w:rsidRPr="00AC474F">
        <w:rPr>
          <w:i/>
          <w:sz w:val="22"/>
          <w:szCs w:val="22"/>
        </w:rPr>
        <w:t>Vesekárosodás</w:t>
      </w:r>
    </w:p>
    <w:p w14:paraId="4E62DDFA" w14:textId="20A08223" w:rsidR="002A3AC9" w:rsidRDefault="00EC5E4D">
      <w:pPr>
        <w:tabs>
          <w:tab w:val="left" w:pos="567"/>
        </w:tabs>
        <w:rPr>
          <w:sz w:val="22"/>
          <w:szCs w:val="22"/>
        </w:rPr>
      </w:pPr>
      <w:r>
        <w:rPr>
          <w:sz w:val="22"/>
          <w:szCs w:val="22"/>
        </w:rPr>
        <w:t>A klaritromicin dózisát felezni kell olyan, vesekárosodásban szenvedő beteg esetén, akinek kreatinin</w:t>
      </w:r>
      <w:r>
        <w:rPr>
          <w:sz w:val="22"/>
          <w:szCs w:val="22"/>
        </w:rPr>
        <w:noBreakHyphen/>
        <w:t>clearance-e 30 ml/percnél alacsonyabb. Így a napi adag 250 mg, vagy súlyosabb fertőzés esetén 2</w:t>
      </w:r>
      <w:r>
        <w:rPr>
          <w:sz w:val="22"/>
          <w:szCs w:val="22"/>
        </w:rPr>
        <w:noBreakHyphen/>
        <w:t xml:space="preserve">szer 250 mg. </w:t>
      </w:r>
      <w:r w:rsidR="001B6F3F">
        <w:rPr>
          <w:sz w:val="22"/>
          <w:szCs w:val="22"/>
        </w:rPr>
        <w:t>Ezen</w:t>
      </w:r>
      <w:r>
        <w:rPr>
          <w:sz w:val="22"/>
          <w:szCs w:val="22"/>
        </w:rPr>
        <w:t xml:space="preserve"> betegek kezelése nem haladhatja meg a 14 napot.</w:t>
      </w:r>
    </w:p>
    <w:p w14:paraId="5F3B43E5" w14:textId="77777777" w:rsidR="002A3AC9" w:rsidRDefault="002A3AC9">
      <w:pPr>
        <w:tabs>
          <w:tab w:val="left" w:pos="567"/>
        </w:tabs>
        <w:rPr>
          <w:sz w:val="22"/>
          <w:szCs w:val="22"/>
        </w:rPr>
      </w:pPr>
    </w:p>
    <w:p w14:paraId="7FA887DF" w14:textId="77777777" w:rsidR="002A3AC9" w:rsidRDefault="00EC5E4D">
      <w:pPr>
        <w:tabs>
          <w:tab w:val="left" w:pos="567"/>
        </w:tabs>
        <w:rPr>
          <w:sz w:val="22"/>
          <w:szCs w:val="22"/>
          <w:u w:val="single"/>
        </w:rPr>
      </w:pPr>
      <w:r>
        <w:rPr>
          <w:sz w:val="22"/>
          <w:szCs w:val="22"/>
          <w:u w:val="single"/>
        </w:rPr>
        <w:t>Az alkalmazás módja</w:t>
      </w:r>
    </w:p>
    <w:p w14:paraId="7F71747D" w14:textId="77777777" w:rsidR="002A3AC9" w:rsidRDefault="00EC5E4D">
      <w:pPr>
        <w:tabs>
          <w:tab w:val="left" w:pos="567"/>
        </w:tabs>
        <w:rPr>
          <w:sz w:val="22"/>
          <w:szCs w:val="22"/>
        </w:rPr>
      </w:pPr>
      <w:r>
        <w:rPr>
          <w:sz w:val="22"/>
          <w:szCs w:val="22"/>
        </w:rPr>
        <w:t>Szájon át történő alkalmazásra.</w:t>
      </w:r>
    </w:p>
    <w:p w14:paraId="3E8ED0A1" w14:textId="77777777" w:rsidR="002A3AC9" w:rsidRDefault="002A3AC9">
      <w:pPr>
        <w:tabs>
          <w:tab w:val="left" w:pos="567"/>
        </w:tabs>
        <w:rPr>
          <w:sz w:val="22"/>
          <w:szCs w:val="22"/>
        </w:rPr>
      </w:pPr>
    </w:p>
    <w:p w14:paraId="32B90301" w14:textId="77777777" w:rsidR="002A3AC9" w:rsidRDefault="00EC5E4D">
      <w:pPr>
        <w:tabs>
          <w:tab w:val="left" w:pos="567"/>
        </w:tabs>
        <w:rPr>
          <w:sz w:val="22"/>
          <w:szCs w:val="22"/>
        </w:rPr>
      </w:pPr>
      <w:r>
        <w:rPr>
          <w:sz w:val="22"/>
          <w:szCs w:val="22"/>
        </w:rPr>
        <w:t>A szuszpenzió bevétele után ajánlatos kevés folyadékot fogyasztani. A szuszpenziót nem tanácsos összerágni, mert apró szemcséinek tartalma keserű ízű.</w:t>
      </w:r>
    </w:p>
    <w:p w14:paraId="7EB51746" w14:textId="77777777" w:rsidR="002A3AC9" w:rsidRDefault="002A3AC9">
      <w:pPr>
        <w:tabs>
          <w:tab w:val="left" w:pos="567"/>
        </w:tabs>
        <w:rPr>
          <w:sz w:val="22"/>
          <w:szCs w:val="22"/>
        </w:rPr>
      </w:pPr>
    </w:p>
    <w:p w14:paraId="044AD770" w14:textId="77777777" w:rsidR="002A3AC9" w:rsidRDefault="00EC5E4D">
      <w:pPr>
        <w:tabs>
          <w:tab w:val="left" w:pos="567"/>
        </w:tabs>
        <w:rPr>
          <w:sz w:val="22"/>
          <w:szCs w:val="22"/>
        </w:rPr>
      </w:pPr>
      <w:r>
        <w:rPr>
          <w:sz w:val="22"/>
          <w:szCs w:val="22"/>
        </w:rPr>
        <w:t>A Fromilid granulátum esetén a belsőleges szuszpenzió elkészítéséről szóló útmutatást lásd a 6.6 pontban.</w:t>
      </w:r>
    </w:p>
    <w:p w14:paraId="463792AB" w14:textId="77777777" w:rsidR="002A3AC9" w:rsidRDefault="002A3AC9">
      <w:pPr>
        <w:tabs>
          <w:tab w:val="left" w:pos="567"/>
        </w:tabs>
        <w:rPr>
          <w:sz w:val="22"/>
          <w:szCs w:val="22"/>
        </w:rPr>
      </w:pPr>
    </w:p>
    <w:p w14:paraId="5D027FB0" w14:textId="77777777" w:rsidR="002A3AC9" w:rsidRDefault="00EC5E4D">
      <w:pPr>
        <w:tabs>
          <w:tab w:val="left" w:pos="708"/>
        </w:tabs>
        <w:ind w:left="567" w:hanging="567"/>
        <w:rPr>
          <w:b/>
          <w:sz w:val="22"/>
          <w:szCs w:val="22"/>
        </w:rPr>
      </w:pPr>
      <w:r>
        <w:rPr>
          <w:b/>
          <w:sz w:val="22"/>
          <w:szCs w:val="22"/>
        </w:rPr>
        <w:t>4.3</w:t>
      </w:r>
      <w:r>
        <w:rPr>
          <w:b/>
          <w:sz w:val="22"/>
          <w:szCs w:val="22"/>
        </w:rPr>
        <w:tab/>
        <w:t>Ellenjavallatok</w:t>
      </w:r>
    </w:p>
    <w:p w14:paraId="43E96D69" w14:textId="77777777" w:rsidR="002A3AC9" w:rsidRDefault="002A3AC9">
      <w:pPr>
        <w:tabs>
          <w:tab w:val="left" w:pos="567"/>
        </w:tabs>
        <w:rPr>
          <w:sz w:val="22"/>
          <w:szCs w:val="22"/>
        </w:rPr>
      </w:pPr>
    </w:p>
    <w:p w14:paraId="6D173341" w14:textId="77777777" w:rsidR="002A3AC9" w:rsidRDefault="00EC5E4D">
      <w:pPr>
        <w:pStyle w:val="WW-Szvegtrzs31"/>
        <w:rPr>
          <w:szCs w:val="22"/>
        </w:rPr>
      </w:pPr>
      <w:r>
        <w:rPr>
          <w:szCs w:val="22"/>
        </w:rPr>
        <w:t xml:space="preserve">Klaritromicinnel és egyéb makrolid-típusú antibiotikumokkal, illetve a készítmény 6.1 pontban felsorolt bármely </w:t>
      </w:r>
      <w:r>
        <w:rPr>
          <w:noProof/>
          <w:szCs w:val="22"/>
          <w:lang w:eastAsia="en-US"/>
        </w:rPr>
        <w:t xml:space="preserve">segédanyagával </w:t>
      </w:r>
      <w:r>
        <w:rPr>
          <w:szCs w:val="22"/>
        </w:rPr>
        <w:t>szembeni túlérzékenység.</w:t>
      </w:r>
    </w:p>
    <w:p w14:paraId="2E1623D9" w14:textId="77777777" w:rsidR="002A3AC9" w:rsidRDefault="002A3AC9">
      <w:pPr>
        <w:pStyle w:val="WW-Szvegtrzs31"/>
        <w:rPr>
          <w:szCs w:val="22"/>
        </w:rPr>
      </w:pPr>
    </w:p>
    <w:p w14:paraId="226A1094" w14:textId="77777777" w:rsidR="002A3AC9" w:rsidRDefault="00EC5E4D">
      <w:pPr>
        <w:pStyle w:val="WW-Szvegtrzs31"/>
        <w:rPr>
          <w:szCs w:val="22"/>
        </w:rPr>
      </w:pPr>
      <w:r>
        <w:rPr>
          <w:szCs w:val="22"/>
        </w:rPr>
        <w:t>Klaritromicin és ergotamin vagy dihidroergotamin együttes adása ellenjavallt, mert ergot-toxicitás kialakulásához vezethet (lásd 4.5 pont).</w:t>
      </w:r>
    </w:p>
    <w:p w14:paraId="6FACBA2B" w14:textId="77777777" w:rsidR="002A3AC9" w:rsidRDefault="002A3AC9">
      <w:pPr>
        <w:pStyle w:val="WW-Szvegtrzs31"/>
        <w:rPr>
          <w:szCs w:val="22"/>
        </w:rPr>
      </w:pPr>
    </w:p>
    <w:p w14:paraId="506EFF07" w14:textId="77777777" w:rsidR="002A3AC9" w:rsidRDefault="00EC5E4D">
      <w:pPr>
        <w:pStyle w:val="WW-Szvegtrzs31"/>
        <w:rPr>
          <w:szCs w:val="22"/>
        </w:rPr>
      </w:pPr>
      <w:r>
        <w:rPr>
          <w:szCs w:val="22"/>
        </w:rPr>
        <w:t>A klaritromicin és orális midazolám együttadása ellenjavallt (lásd 4.5 pont).</w:t>
      </w:r>
    </w:p>
    <w:p w14:paraId="4D3A8FAD" w14:textId="77777777" w:rsidR="002A3AC9" w:rsidRDefault="002A3AC9">
      <w:pPr>
        <w:pStyle w:val="WW-Szvegtrzs31"/>
        <w:rPr>
          <w:szCs w:val="22"/>
        </w:rPr>
      </w:pPr>
    </w:p>
    <w:p w14:paraId="5AA6BB69" w14:textId="77777777" w:rsidR="002A3AC9" w:rsidRDefault="00EC5E4D">
      <w:pPr>
        <w:pStyle w:val="WW-Szvegtrzs31"/>
        <w:rPr>
          <w:szCs w:val="22"/>
        </w:rPr>
      </w:pPr>
      <w:r>
        <w:rPr>
          <w:szCs w:val="22"/>
        </w:rPr>
        <w:t xml:space="preserve">A klaritromicin és az alábbi gyógyszerek bármelyikének egyidejű alkalmazása ellenjavallt: asztemizol, ciszaprid, domperidon, pimozid, terfenadin, mert QT-szakasz megnyúláshoz és szívritmuszavarhoz, mint kamrai tachycardia, kamrafibrilláció és </w:t>
      </w:r>
      <w:r>
        <w:rPr>
          <w:i/>
          <w:szCs w:val="22"/>
        </w:rPr>
        <w:t>torsade de pointes</w:t>
      </w:r>
      <w:r>
        <w:rPr>
          <w:szCs w:val="22"/>
        </w:rPr>
        <w:t xml:space="preserve"> vezethet (lásd 4.4 és 4.5 pont).</w:t>
      </w:r>
    </w:p>
    <w:p w14:paraId="497083A2" w14:textId="77777777" w:rsidR="002A3AC9" w:rsidRDefault="00EC5E4D">
      <w:pPr>
        <w:pStyle w:val="WW-Szvegtrzs31"/>
        <w:rPr>
          <w:szCs w:val="22"/>
        </w:rPr>
      </w:pPr>
      <w:r>
        <w:rPr>
          <w:szCs w:val="22"/>
        </w:rPr>
        <w:t xml:space="preserve">Klaritromicin nem adható olyan betegnek, akinek az anamnézisében (veleszületett vagy dokumentált szerzett) QT-szakasz megnyúlás vagy kamrai szívritmuszavar, - beleértve a </w:t>
      </w:r>
      <w:r>
        <w:rPr>
          <w:i/>
          <w:szCs w:val="22"/>
        </w:rPr>
        <w:t>torsade de pointes</w:t>
      </w:r>
      <w:r>
        <w:rPr>
          <w:szCs w:val="22"/>
        </w:rPr>
        <w:t>-ot is - , fordult elő (lásd 4.4 és 4.5 pont).</w:t>
      </w:r>
    </w:p>
    <w:p w14:paraId="7C76CB8B" w14:textId="77777777" w:rsidR="002A3AC9" w:rsidRDefault="002A3AC9">
      <w:pPr>
        <w:pStyle w:val="WW-Szvegtrzs31"/>
        <w:rPr>
          <w:szCs w:val="22"/>
        </w:rPr>
      </w:pPr>
    </w:p>
    <w:p w14:paraId="746B90B3" w14:textId="77777777" w:rsidR="002A3AC9" w:rsidRDefault="00EC5E4D">
      <w:pPr>
        <w:pStyle w:val="WW-Szvegtrzs31"/>
        <w:rPr>
          <w:szCs w:val="22"/>
        </w:rPr>
      </w:pPr>
      <w:r>
        <w:rPr>
          <w:szCs w:val="22"/>
        </w:rPr>
        <w:t>A tikagrelorral, ivabradinnal vagy ranolazinnal történő együttadás ellenjavallt.</w:t>
      </w:r>
    </w:p>
    <w:p w14:paraId="5D9B10F2" w14:textId="77777777" w:rsidR="002A3AC9" w:rsidRDefault="002A3AC9">
      <w:pPr>
        <w:pStyle w:val="WW-Szvegtrzs31"/>
        <w:rPr>
          <w:szCs w:val="22"/>
        </w:rPr>
      </w:pPr>
    </w:p>
    <w:p w14:paraId="20E5FFBD" w14:textId="77777777" w:rsidR="002A3AC9" w:rsidRDefault="00EC5E4D">
      <w:pPr>
        <w:pStyle w:val="WW-Szvegtrzs31"/>
        <w:rPr>
          <w:szCs w:val="22"/>
        </w:rPr>
      </w:pPr>
      <w:r>
        <w:rPr>
          <w:szCs w:val="22"/>
        </w:rPr>
        <w:t>A klaritromicin és a lomitapid együttes adása ellenjavallt (lásd 4.5 pont).</w:t>
      </w:r>
    </w:p>
    <w:p w14:paraId="3290B7C0" w14:textId="77777777" w:rsidR="002A3AC9" w:rsidRDefault="002A3AC9">
      <w:pPr>
        <w:rPr>
          <w:noProof/>
          <w:sz w:val="22"/>
          <w:szCs w:val="22"/>
        </w:rPr>
      </w:pPr>
    </w:p>
    <w:p w14:paraId="74E5FC2A" w14:textId="40609FC9" w:rsidR="002A3AC9" w:rsidRDefault="00EC5E4D">
      <w:pPr>
        <w:rPr>
          <w:sz w:val="22"/>
          <w:szCs w:val="22"/>
        </w:rPr>
      </w:pPr>
      <w:r>
        <w:rPr>
          <w:noProof/>
          <w:sz w:val="22"/>
          <w:szCs w:val="22"/>
        </w:rPr>
        <w:t xml:space="preserve">A myopathia fokozott kockázata miatt, beleértve </w:t>
      </w:r>
      <w:r>
        <w:rPr>
          <w:sz w:val="22"/>
          <w:szCs w:val="22"/>
        </w:rPr>
        <w:t xml:space="preserve">a </w:t>
      </w:r>
      <w:r>
        <w:rPr>
          <w:noProof/>
          <w:sz w:val="22"/>
          <w:szCs w:val="22"/>
        </w:rPr>
        <w:t>rhabdomyolysist is,</w:t>
      </w:r>
      <w:r>
        <w:rPr>
          <w:sz w:val="22"/>
          <w:szCs w:val="22"/>
        </w:rPr>
        <w:t xml:space="preserve"> a klaritromicin nem adható együtt olyan HMG-CoA-reduk</w:t>
      </w:r>
      <w:r w:rsidR="008B2746">
        <w:rPr>
          <w:sz w:val="22"/>
          <w:szCs w:val="22"/>
        </w:rPr>
        <w:t>táz-g</w:t>
      </w:r>
      <w:r>
        <w:rPr>
          <w:sz w:val="22"/>
          <w:szCs w:val="22"/>
        </w:rPr>
        <w:t xml:space="preserve">átlókkal (sztatinokkal), </w:t>
      </w:r>
      <w:r>
        <w:rPr>
          <w:noProof/>
          <w:sz w:val="22"/>
          <w:szCs w:val="22"/>
        </w:rPr>
        <w:t>melyek nagymértékben a CYP3A4 enzimen keresztül metabolizálódnak</w:t>
      </w:r>
      <w:r>
        <w:rPr>
          <w:sz w:val="22"/>
          <w:szCs w:val="22"/>
        </w:rPr>
        <w:t xml:space="preserve"> (lovasztatin vagy szimvasztatin) (lásd 4.5 pont).</w:t>
      </w:r>
    </w:p>
    <w:p w14:paraId="3607D909" w14:textId="77777777" w:rsidR="002A3AC9" w:rsidRDefault="002A3AC9">
      <w:pPr>
        <w:tabs>
          <w:tab w:val="left" w:pos="567"/>
        </w:tabs>
        <w:rPr>
          <w:sz w:val="22"/>
          <w:szCs w:val="22"/>
        </w:rPr>
      </w:pPr>
    </w:p>
    <w:p w14:paraId="661DF8D2" w14:textId="77777777" w:rsidR="002A3AC9" w:rsidRDefault="00EC5E4D">
      <w:pPr>
        <w:pStyle w:val="WW-Szvegtrzs212"/>
        <w:jc w:val="left"/>
        <w:rPr>
          <w:szCs w:val="22"/>
        </w:rPr>
      </w:pPr>
      <w:r>
        <w:rPr>
          <w:szCs w:val="22"/>
        </w:rPr>
        <w:t>Más, erős hatású CYP3A4-inhibitorhoz hasonlóan a klaritromicint nem szabad kolchicint szedő betegeknél alkalmazni.</w:t>
      </w:r>
    </w:p>
    <w:p w14:paraId="26DF863A" w14:textId="77777777" w:rsidR="002A3AC9" w:rsidRDefault="002A3AC9">
      <w:pPr>
        <w:pStyle w:val="WW-Szvegtrzs31"/>
        <w:rPr>
          <w:szCs w:val="22"/>
        </w:rPr>
      </w:pPr>
    </w:p>
    <w:p w14:paraId="682D3529" w14:textId="77777777" w:rsidR="002A3AC9" w:rsidRDefault="00EC5E4D">
      <w:pPr>
        <w:pStyle w:val="WW-Szvegtrzs31"/>
        <w:rPr>
          <w:szCs w:val="22"/>
        </w:rPr>
      </w:pPr>
      <w:r>
        <w:rPr>
          <w:szCs w:val="22"/>
        </w:rPr>
        <w:t>Klaritromicin alkalmazása kerülendő az elektrolitzavarokban szenvedő betegeknél (hypokalaemia vagy hypomagnesaemia, mert fennáll a QT-szakasz megnyúlásának kockázata).</w:t>
      </w:r>
    </w:p>
    <w:p w14:paraId="295D5AC9" w14:textId="77777777" w:rsidR="002A3AC9" w:rsidRDefault="002A3AC9">
      <w:pPr>
        <w:pStyle w:val="WW-Szvegtrzs31"/>
        <w:rPr>
          <w:szCs w:val="22"/>
        </w:rPr>
      </w:pPr>
    </w:p>
    <w:p w14:paraId="7D709247" w14:textId="77777777" w:rsidR="002A3AC9" w:rsidRDefault="00EC5E4D">
      <w:pPr>
        <w:pStyle w:val="WW-Szvegtrzs31"/>
        <w:rPr>
          <w:szCs w:val="22"/>
        </w:rPr>
      </w:pPr>
      <w:r>
        <w:rPr>
          <w:szCs w:val="22"/>
        </w:rPr>
        <w:t>Klaritromicin nem adható egyidejű súlyos májelégtelenség és vesekárosodás esetén.</w:t>
      </w:r>
    </w:p>
    <w:p w14:paraId="62A8B603" w14:textId="77777777" w:rsidR="002A3AC9" w:rsidRDefault="002A3AC9">
      <w:pPr>
        <w:tabs>
          <w:tab w:val="left" w:pos="567"/>
        </w:tabs>
        <w:rPr>
          <w:sz w:val="22"/>
          <w:szCs w:val="22"/>
        </w:rPr>
      </w:pPr>
    </w:p>
    <w:p w14:paraId="7D5B739E" w14:textId="77777777" w:rsidR="002A3AC9" w:rsidRDefault="00EC5E4D">
      <w:pPr>
        <w:keepNext/>
        <w:tabs>
          <w:tab w:val="left" w:pos="708"/>
        </w:tabs>
        <w:ind w:left="567" w:hanging="567"/>
        <w:rPr>
          <w:b/>
          <w:sz w:val="22"/>
          <w:szCs w:val="22"/>
        </w:rPr>
      </w:pPr>
      <w:r>
        <w:rPr>
          <w:b/>
          <w:sz w:val="22"/>
          <w:szCs w:val="22"/>
        </w:rPr>
        <w:t>4.4</w:t>
      </w:r>
      <w:r>
        <w:rPr>
          <w:b/>
          <w:sz w:val="22"/>
          <w:szCs w:val="22"/>
        </w:rPr>
        <w:tab/>
        <w:t>Különleges figyelmeztetések és az alkalmazással kapcsolatos óvintézkedések</w:t>
      </w:r>
    </w:p>
    <w:p w14:paraId="386F6F22" w14:textId="77777777" w:rsidR="002A3AC9" w:rsidRDefault="002A3AC9">
      <w:pPr>
        <w:pStyle w:val="WW-Szvegtrzs31"/>
        <w:keepNext/>
        <w:ind w:left="360" w:hanging="360"/>
        <w:rPr>
          <w:szCs w:val="22"/>
        </w:rPr>
      </w:pPr>
    </w:p>
    <w:p w14:paraId="26073336" w14:textId="77777777" w:rsidR="002A3AC9" w:rsidRDefault="00EC5E4D">
      <w:pPr>
        <w:pStyle w:val="Szvegtrzs"/>
        <w:rPr>
          <w:sz w:val="22"/>
          <w:szCs w:val="22"/>
        </w:rPr>
      </w:pPr>
      <w:r>
        <w:rPr>
          <w:sz w:val="22"/>
          <w:szCs w:val="22"/>
        </w:rPr>
        <w:t xml:space="preserve">A </w:t>
      </w:r>
      <w:r>
        <w:rPr>
          <w:i/>
          <w:sz w:val="22"/>
          <w:szCs w:val="22"/>
        </w:rPr>
        <w:t>H. pylori</w:t>
      </w:r>
      <w:r>
        <w:rPr>
          <w:sz w:val="22"/>
          <w:szCs w:val="22"/>
        </w:rPr>
        <w:t xml:space="preserve"> eradikációja céljából végzett klaritromicin-kezelés rezisztens mikroorganizmusok szelekciójához vezethet.</w:t>
      </w:r>
    </w:p>
    <w:p w14:paraId="7D445982" w14:textId="77777777" w:rsidR="002A3AC9" w:rsidRDefault="002A3AC9">
      <w:pPr>
        <w:pStyle w:val="WW-Szvegtrzs31"/>
        <w:keepNext/>
        <w:rPr>
          <w:szCs w:val="22"/>
        </w:rPr>
      </w:pPr>
    </w:p>
    <w:p w14:paraId="422AC796" w14:textId="77777777" w:rsidR="002A3AC9" w:rsidRDefault="00EC5E4D">
      <w:pPr>
        <w:pStyle w:val="Szvegtrzs"/>
        <w:keepNext/>
        <w:rPr>
          <w:sz w:val="22"/>
          <w:szCs w:val="22"/>
        </w:rPr>
      </w:pPr>
      <w:r>
        <w:rPr>
          <w:sz w:val="22"/>
          <w:szCs w:val="22"/>
        </w:rPr>
        <w:t>A készítményt az orvos a terhesség alatt – különösen a terhesség első trimeszterében – kizárólag az előny/kockázat arány gondos, egyedi mérlegelése alapján írhatja fel (lásd 4.6 pont).</w:t>
      </w:r>
    </w:p>
    <w:p w14:paraId="7E37ACF7" w14:textId="77777777" w:rsidR="002A3AC9" w:rsidRDefault="002A3AC9">
      <w:pPr>
        <w:pStyle w:val="WW-Szvegtrzs31"/>
        <w:rPr>
          <w:szCs w:val="22"/>
        </w:rPr>
      </w:pPr>
    </w:p>
    <w:p w14:paraId="38F37A04" w14:textId="77777777" w:rsidR="002A3AC9" w:rsidRDefault="00EC5E4D">
      <w:pPr>
        <w:pStyle w:val="Szvegtrzs"/>
        <w:rPr>
          <w:sz w:val="22"/>
          <w:szCs w:val="22"/>
        </w:rPr>
      </w:pPr>
      <w:r>
        <w:rPr>
          <w:sz w:val="22"/>
          <w:szCs w:val="22"/>
        </w:rPr>
        <w:t>Súlyos veseelégtelenségben fokozott elővigyázatosság szükséges (lásd 4.2 pont).</w:t>
      </w:r>
    </w:p>
    <w:p w14:paraId="6F9CAFB6" w14:textId="77777777" w:rsidR="002A3AC9" w:rsidRDefault="002A3AC9">
      <w:pPr>
        <w:pStyle w:val="Szvegtrzs"/>
        <w:rPr>
          <w:sz w:val="22"/>
          <w:szCs w:val="22"/>
        </w:rPr>
      </w:pPr>
    </w:p>
    <w:p w14:paraId="690DC529" w14:textId="59F419F5" w:rsidR="002A3AC9" w:rsidRDefault="00EC5E4D">
      <w:pPr>
        <w:pStyle w:val="Szvegtrzs"/>
        <w:rPr>
          <w:sz w:val="22"/>
          <w:szCs w:val="22"/>
        </w:rPr>
      </w:pPr>
      <w:r>
        <w:rPr>
          <w:sz w:val="22"/>
          <w:szCs w:val="22"/>
        </w:rPr>
        <w:t>A klaritromicin döntően a májon keresztül választódik ki. Ezért májkárosodás esetén fokozott körültekintés szükséges. Óvatosság szükséges akkor is, ha a klaritromicint közepesen vagy súlyosan károsodott veseműködésű betegeknél alkalmazzák.</w:t>
      </w:r>
    </w:p>
    <w:p w14:paraId="5051B366" w14:textId="77777777" w:rsidR="002A3AC9" w:rsidRDefault="002A3AC9">
      <w:pPr>
        <w:pStyle w:val="Szvegtrzs"/>
        <w:rPr>
          <w:sz w:val="22"/>
          <w:szCs w:val="22"/>
        </w:rPr>
      </w:pPr>
    </w:p>
    <w:p w14:paraId="695C3368" w14:textId="0494C0D2" w:rsidR="002A3AC9" w:rsidRDefault="00EC5E4D">
      <w:pPr>
        <w:pStyle w:val="Szvegtrzs"/>
        <w:rPr>
          <w:sz w:val="22"/>
          <w:szCs w:val="22"/>
        </w:rPr>
      </w:pPr>
      <w:r>
        <w:rPr>
          <w:sz w:val="22"/>
          <w:szCs w:val="22"/>
        </w:rPr>
        <w:t>Májrendellenességeket, köztük emelkedett májenzimszinteket és hepatocellularis és/vagy icterusszal vagy anélkül jelentkező cholestatikus hepatitist jelentettek klaritromicin alkalmazásával kapcsolatban. Ez a májrendellenesség lehet súlyos, de általában reverz</w:t>
      </w:r>
      <w:r w:rsidR="00B0483F">
        <w:rPr>
          <w:sz w:val="22"/>
          <w:szCs w:val="22"/>
        </w:rPr>
        <w:t>i</w:t>
      </w:r>
      <w:r>
        <w:rPr>
          <w:sz w:val="22"/>
          <w:szCs w:val="22"/>
        </w:rPr>
        <w:t>bilis. Halálos kimenetelű májelégtelenség eseteit jelentették (lásd 4.8 pont). Néhány beteg már meglévő májbetegségben szenvedett vagy más hepatotoxikus gyógyszert is szedett. A betegek figyelmét fel kell hívni arra, hogy azonnal függesszék fel a kezelést, és lépjenek kapcsolatba orvosukkal, ha májbetegségre utaló tüneteket észlelnek, mint például: étvágytalanság, sárgaság, sötét vizelet, viszketés vagy hasi érzékenység.</w:t>
      </w:r>
    </w:p>
    <w:p w14:paraId="112D1771" w14:textId="77777777" w:rsidR="002A3AC9" w:rsidRDefault="002A3AC9">
      <w:pPr>
        <w:pStyle w:val="Szvegtrzs"/>
        <w:rPr>
          <w:sz w:val="22"/>
          <w:szCs w:val="22"/>
        </w:rPr>
      </w:pPr>
    </w:p>
    <w:p w14:paraId="09E90ACB" w14:textId="77777777" w:rsidR="002A3AC9" w:rsidRDefault="00EC5E4D">
      <w:pPr>
        <w:pStyle w:val="Szvegtrzs"/>
        <w:rPr>
          <w:sz w:val="22"/>
          <w:szCs w:val="22"/>
        </w:rPr>
      </w:pPr>
      <w:r>
        <w:rPr>
          <w:sz w:val="22"/>
          <w:szCs w:val="22"/>
        </w:rPr>
        <w:t xml:space="preserve">Majdnem minden antibiotikummal kapcsolatban, beleértve a makrolidokat is, pseudomembranosus colitis előfordulásáról számoltak be, ami lefolyásában az enyhétől az életet veszélyeztető állapotig terjedhet. </w:t>
      </w:r>
      <w:r>
        <w:rPr>
          <w:i/>
          <w:sz w:val="22"/>
          <w:szCs w:val="22"/>
        </w:rPr>
        <w:t>Clostridioides difficile</w:t>
      </w:r>
      <w:r>
        <w:rPr>
          <w:sz w:val="22"/>
          <w:szCs w:val="22"/>
        </w:rPr>
        <w:t xml:space="preserve">-okozta hasmenést jelentettek majdnem minden antibiotikum, beleértve </w:t>
      </w:r>
      <w:r>
        <w:rPr>
          <w:sz w:val="22"/>
          <w:szCs w:val="22"/>
        </w:rPr>
        <w:lastRenderedPageBreak/>
        <w:t xml:space="preserve">a klaritromicin alkalmazásakor is, mely súlyosságát tekintve az enyhe hasmenéstől a halálos kimenetelű colitisig terjedhet. Az antibiotikum-terápia a normál bélflóra megváltozását eredményezi, ami a </w:t>
      </w:r>
      <w:r>
        <w:rPr>
          <w:i/>
          <w:sz w:val="22"/>
          <w:szCs w:val="22"/>
        </w:rPr>
        <w:t>C. difficile</w:t>
      </w:r>
      <w:r>
        <w:rPr>
          <w:sz w:val="22"/>
          <w:szCs w:val="22"/>
        </w:rPr>
        <w:t xml:space="preserve"> elszaporodásához vezethet. Antibiotikum-kezelést követően fellépő hasmenés esetén, feltétlenül gondolni kell </w:t>
      </w:r>
      <w:r>
        <w:rPr>
          <w:i/>
          <w:sz w:val="22"/>
          <w:szCs w:val="22"/>
        </w:rPr>
        <w:t>Clostridioides difficile</w:t>
      </w:r>
      <w:r>
        <w:rPr>
          <w:sz w:val="22"/>
          <w:szCs w:val="22"/>
        </w:rPr>
        <w:t xml:space="preserve">-okozta hasmenésre. Nagyon alapos orvosi anamnézis felvétele szükséges, mivel beszámoltak </w:t>
      </w:r>
      <w:r>
        <w:rPr>
          <w:i/>
          <w:sz w:val="22"/>
          <w:szCs w:val="22"/>
        </w:rPr>
        <w:t>Clostridioides difficile</w:t>
      </w:r>
      <w:r>
        <w:rPr>
          <w:sz w:val="22"/>
          <w:szCs w:val="22"/>
        </w:rPr>
        <w:t>-okozta hasmenés jelentkezéséről az antibiotikum-kezelés után két hónappal is. A diagnózis felállítása esetén a klaritromicin-kezelést azonnal fel kell függeszteni, függetlenül az indikációtól. Bakteriológiai vizsgálatot kell végezni, valamint a megfelelő terápiát el kell indítani. A perisztaltikát gátló készítmények alkalmazása kerülendő.</w:t>
      </w:r>
    </w:p>
    <w:p w14:paraId="4C4FBED3" w14:textId="77777777" w:rsidR="002A3AC9" w:rsidRDefault="002A3AC9">
      <w:pPr>
        <w:pStyle w:val="Szvegtrzs"/>
        <w:rPr>
          <w:sz w:val="22"/>
          <w:szCs w:val="22"/>
        </w:rPr>
      </w:pPr>
    </w:p>
    <w:p w14:paraId="2A587D85" w14:textId="77777777" w:rsidR="002A3AC9" w:rsidRDefault="00EC5E4D">
      <w:pPr>
        <w:pStyle w:val="Szvegtrzs"/>
        <w:rPr>
          <w:sz w:val="22"/>
          <w:szCs w:val="22"/>
        </w:rPr>
      </w:pPr>
      <w:r>
        <w:rPr>
          <w:sz w:val="22"/>
          <w:szCs w:val="22"/>
        </w:rPr>
        <w:t>Forgalomba hozatalt követő jelentések klaritromicin és kolchicin együttes alkalmazása során kolchicin</w:t>
      </w:r>
      <w:r>
        <w:rPr>
          <w:sz w:val="22"/>
          <w:szCs w:val="22"/>
        </w:rPr>
        <w:noBreakHyphen/>
        <w:t>mérgezésről számoltak be, különösen olyan idős betegeknél, akik közül néhányan veseelégtelenségben szenvedtek, néhány esetben halálos végkimenetellel (lásd 4.5 pont). A klaritromicin és kolchicin együttadása ellenjavallt (lásd 4.3 pont).</w:t>
      </w:r>
    </w:p>
    <w:p w14:paraId="1FD41B21" w14:textId="77777777" w:rsidR="002A3AC9" w:rsidRDefault="002A3AC9">
      <w:pPr>
        <w:pStyle w:val="Szvegtrzs"/>
        <w:rPr>
          <w:sz w:val="22"/>
          <w:szCs w:val="22"/>
        </w:rPr>
      </w:pPr>
    </w:p>
    <w:p w14:paraId="2721833A" w14:textId="77777777" w:rsidR="002A3AC9" w:rsidRDefault="00EC5E4D">
      <w:pPr>
        <w:pStyle w:val="Szvegtrzs"/>
        <w:rPr>
          <w:sz w:val="22"/>
          <w:szCs w:val="22"/>
        </w:rPr>
      </w:pPr>
      <w:r>
        <w:rPr>
          <w:sz w:val="22"/>
          <w:szCs w:val="22"/>
        </w:rPr>
        <w:t>Óvatosság szükséges klaritromicin és triazolo-benzodiazepinek, mint például triazolám és midazolám együttadásakor (lásd 4.5 pont).</w:t>
      </w:r>
    </w:p>
    <w:p w14:paraId="4BB4116D" w14:textId="77777777" w:rsidR="002A3AC9" w:rsidRDefault="002A3AC9">
      <w:pPr>
        <w:pStyle w:val="WW-Szvegtrzs31"/>
        <w:rPr>
          <w:szCs w:val="22"/>
        </w:rPr>
      </w:pPr>
    </w:p>
    <w:p w14:paraId="560D55C4" w14:textId="77777777" w:rsidR="002A3AC9" w:rsidRDefault="00EC5E4D">
      <w:pPr>
        <w:pStyle w:val="Szvegtrzs"/>
        <w:rPr>
          <w:sz w:val="22"/>
          <w:szCs w:val="22"/>
        </w:rPr>
      </w:pPr>
      <w:r>
        <w:rPr>
          <w:sz w:val="22"/>
          <w:szCs w:val="22"/>
        </w:rPr>
        <w:t>Óvatosság szükséges klaritromicin és más ototoxikus gyógyszerek, különösen aminoglikozidok együttadásakor. A kezelés alatt és után a vesztibuláris és hallófunkciókat ellenőrizni kell.</w:t>
      </w:r>
    </w:p>
    <w:p w14:paraId="58A031DE" w14:textId="77777777" w:rsidR="002A3AC9" w:rsidRDefault="002A3AC9">
      <w:pPr>
        <w:pStyle w:val="Szvegtrzs"/>
        <w:rPr>
          <w:sz w:val="22"/>
          <w:szCs w:val="22"/>
        </w:rPr>
      </w:pPr>
    </w:p>
    <w:p w14:paraId="14A6008C" w14:textId="77777777" w:rsidR="002A3AC9" w:rsidRDefault="00EC5E4D">
      <w:pPr>
        <w:pStyle w:val="Szvegtrzs"/>
        <w:ind w:right="0"/>
        <w:rPr>
          <w:sz w:val="22"/>
          <w:szCs w:val="22"/>
          <w:u w:val="single"/>
        </w:rPr>
      </w:pPr>
      <w:r>
        <w:rPr>
          <w:sz w:val="22"/>
          <w:szCs w:val="22"/>
          <w:u w:val="single"/>
        </w:rPr>
        <w:t>Cardiovascularis események</w:t>
      </w:r>
    </w:p>
    <w:p w14:paraId="3F6FA7BE" w14:textId="77777777" w:rsidR="002A3AC9" w:rsidRDefault="00EC5E4D">
      <w:pPr>
        <w:rPr>
          <w:sz w:val="22"/>
          <w:szCs w:val="22"/>
        </w:rPr>
      </w:pPr>
      <w:r>
        <w:rPr>
          <w:sz w:val="22"/>
          <w:szCs w:val="22"/>
        </w:rPr>
        <w:t xml:space="preserve">Arrhythmia vagy </w:t>
      </w:r>
      <w:r>
        <w:rPr>
          <w:i/>
          <w:iCs/>
          <w:sz w:val="22"/>
          <w:szCs w:val="22"/>
        </w:rPr>
        <w:t>torsades de pointes</w:t>
      </w:r>
      <w:r>
        <w:rPr>
          <w:sz w:val="22"/>
          <w:szCs w:val="22"/>
        </w:rPr>
        <w:t xml:space="preserve"> kialakulásának kockázatát hordozó, repolarizációra utaló, megnyúlt QT-intervallumot figyeltek meg makrolidokkal, így a klaritromicinnel kezelt betegeknél (lásd 4.8 pont). A QT-intervallum megnyúlásának és a kamrai arrhythmiák (beleértve a </w:t>
      </w:r>
      <w:r>
        <w:rPr>
          <w:i/>
          <w:iCs/>
          <w:sz w:val="22"/>
          <w:szCs w:val="22"/>
        </w:rPr>
        <w:t>torsades de pointes</w:t>
      </w:r>
      <w:r>
        <w:rPr>
          <w:sz w:val="22"/>
          <w:szCs w:val="22"/>
        </w:rPr>
        <w:t>-t is) kialakulásának fokozott kockázata miatt asztemizolt, ciszapridet, domperidont, pimozidot vagy terfenadint szedő; hypokalaemiaban szenvedő, valamint az anamnézisben QT-intervallum megnyúlásával vagy kamrai arrhythmiaval rendelkező betegeknél a klaritromicin alkalmazása ellenjavallt (lásd 4.3 pont).</w:t>
      </w:r>
    </w:p>
    <w:p w14:paraId="3982F64C" w14:textId="77777777" w:rsidR="002A3AC9" w:rsidRDefault="002A3AC9">
      <w:pPr>
        <w:pStyle w:val="Szvegtrzs"/>
        <w:ind w:right="0"/>
        <w:rPr>
          <w:sz w:val="22"/>
          <w:szCs w:val="22"/>
        </w:rPr>
      </w:pPr>
    </w:p>
    <w:p w14:paraId="702F8604" w14:textId="77777777" w:rsidR="002A3AC9" w:rsidRDefault="00EC5E4D">
      <w:pPr>
        <w:rPr>
          <w:sz w:val="22"/>
          <w:szCs w:val="22"/>
        </w:rPr>
      </w:pPr>
      <w:r>
        <w:rPr>
          <w:sz w:val="22"/>
          <w:szCs w:val="22"/>
        </w:rPr>
        <w:t>Az alábbi betegeknél a klaritromicin csak kellő óvatossággal alkalmazható:</w:t>
      </w:r>
    </w:p>
    <w:p w14:paraId="6A35416F" w14:textId="77777777" w:rsidR="002A3AC9" w:rsidRDefault="00EC5E4D">
      <w:pPr>
        <w:numPr>
          <w:ilvl w:val="0"/>
          <w:numId w:val="15"/>
        </w:numPr>
        <w:tabs>
          <w:tab w:val="left" w:pos="540"/>
        </w:tabs>
        <w:ind w:left="540" w:hanging="540"/>
        <w:rPr>
          <w:sz w:val="22"/>
          <w:szCs w:val="22"/>
        </w:rPr>
      </w:pPr>
      <w:r>
        <w:rPr>
          <w:sz w:val="22"/>
          <w:szCs w:val="22"/>
        </w:rPr>
        <w:t>koszorúér-betegségben, súlyos szívelégtelenségben, ingerületvezetési zavarokban vagy klinikai szempontból jelentős bradycardiában szenvedő betegek;</w:t>
      </w:r>
    </w:p>
    <w:p w14:paraId="181C3471" w14:textId="77777777" w:rsidR="002A3AC9" w:rsidRDefault="00EC5E4D">
      <w:pPr>
        <w:numPr>
          <w:ilvl w:val="0"/>
          <w:numId w:val="15"/>
        </w:numPr>
        <w:tabs>
          <w:tab w:val="left" w:pos="540"/>
        </w:tabs>
        <w:ind w:left="540" w:hanging="540"/>
        <w:rPr>
          <w:sz w:val="22"/>
          <w:szCs w:val="22"/>
        </w:rPr>
      </w:pPr>
      <w:r>
        <w:rPr>
          <w:sz w:val="22"/>
          <w:szCs w:val="22"/>
        </w:rPr>
        <w:t>olyan betegeknél, akik egyidejűleg más, az ellenjavallatokban nem szereplő, QT-megnyúlást előidéző gyógyszereket szednek.</w:t>
      </w:r>
    </w:p>
    <w:p w14:paraId="0D1482DC" w14:textId="77777777" w:rsidR="002A3AC9" w:rsidRDefault="002A3AC9">
      <w:pPr>
        <w:tabs>
          <w:tab w:val="left" w:pos="540"/>
        </w:tabs>
        <w:rPr>
          <w:sz w:val="22"/>
          <w:szCs w:val="22"/>
        </w:rPr>
      </w:pPr>
    </w:p>
    <w:p w14:paraId="66ECE10D" w14:textId="77777777" w:rsidR="002A3AC9" w:rsidRDefault="00EC5E4D">
      <w:pPr>
        <w:tabs>
          <w:tab w:val="left" w:pos="540"/>
        </w:tabs>
        <w:rPr>
          <w:sz w:val="22"/>
          <w:szCs w:val="22"/>
        </w:rPr>
      </w:pPr>
      <w:r>
        <w:rPr>
          <w:sz w:val="22"/>
          <w:szCs w:val="22"/>
        </w:rPr>
        <w:t>A makrolidekkel összefüggő cardiovascularis mellékhatások kockázatát vizsgáló epidemiológiai tanulmányok eltérő következtetésekre jutottak. Bizonyos, megfigyelésen alapuló tanulmányok keretében a makrolidek, köztük a klaritromicin alkalmazásával összefüggésben ritka esetekben az arrhythmia, a szívizom infarctus, valamint a cardiovascularis mortalitás rövid távú kockázatát állapították meg. Klaritromicin felírásakor mérlegelendők ezek a megállapítások a kezelés előnyeihez viszonyítva.</w:t>
      </w:r>
    </w:p>
    <w:p w14:paraId="2882933B" w14:textId="77777777" w:rsidR="002A3AC9" w:rsidRDefault="002A3AC9">
      <w:pPr>
        <w:pStyle w:val="Szvegtrzs"/>
        <w:rPr>
          <w:sz w:val="22"/>
          <w:szCs w:val="22"/>
        </w:rPr>
      </w:pPr>
    </w:p>
    <w:p w14:paraId="3456FA4D" w14:textId="77777777" w:rsidR="002A3AC9" w:rsidRDefault="00EC5E4D">
      <w:pPr>
        <w:pStyle w:val="Szvegtrzs"/>
        <w:keepNext/>
        <w:rPr>
          <w:sz w:val="22"/>
          <w:szCs w:val="22"/>
          <w:u w:val="single"/>
        </w:rPr>
      </w:pPr>
      <w:r>
        <w:rPr>
          <w:sz w:val="22"/>
          <w:szCs w:val="22"/>
          <w:u w:val="single"/>
        </w:rPr>
        <w:t>Pneumonia</w:t>
      </w:r>
    </w:p>
    <w:p w14:paraId="07CD3AD6" w14:textId="77777777" w:rsidR="002A3AC9" w:rsidRDefault="00EC5E4D">
      <w:pPr>
        <w:pStyle w:val="Szvegtrzs"/>
        <w:keepNext/>
        <w:rPr>
          <w:sz w:val="22"/>
          <w:szCs w:val="22"/>
        </w:rPr>
      </w:pPr>
      <w:r>
        <w:rPr>
          <w:noProof/>
          <w:sz w:val="22"/>
          <w:szCs w:val="22"/>
        </w:rPr>
        <w:t xml:space="preserve">A </w:t>
      </w:r>
      <w:r>
        <w:rPr>
          <w:i/>
          <w:iCs/>
          <w:noProof/>
          <w:sz w:val="22"/>
          <w:szCs w:val="22"/>
        </w:rPr>
        <w:t>Streptococcus pneumoniae</w:t>
      </w:r>
      <w:r>
        <w:rPr>
          <w:noProof/>
          <w:sz w:val="22"/>
          <w:szCs w:val="22"/>
        </w:rPr>
        <w:t xml:space="preserve"> makrolidokkal szembeni fokozódó rezisztenciája miatt fontos</w:t>
      </w:r>
      <w:r>
        <w:rPr>
          <w:sz w:val="22"/>
          <w:szCs w:val="22"/>
        </w:rPr>
        <w:t>, hogy területen szerzett pneumonia esetén a klaritromicin felírásakor antibiotikum-érzékenységi tesztet kell elvégezni. A kórházban szerzett pneumonia esetén a klaritromicint más antibiotikumokkal kombinációban kell alkalmazni.</w:t>
      </w:r>
    </w:p>
    <w:p w14:paraId="6756D591" w14:textId="77777777" w:rsidR="002A3AC9" w:rsidRDefault="002A3AC9">
      <w:pPr>
        <w:pStyle w:val="Szvegtrzs"/>
        <w:rPr>
          <w:sz w:val="22"/>
          <w:szCs w:val="22"/>
          <w:u w:val="single"/>
        </w:rPr>
      </w:pPr>
    </w:p>
    <w:p w14:paraId="094C13DD" w14:textId="77777777" w:rsidR="002A3AC9" w:rsidRDefault="00EC5E4D">
      <w:pPr>
        <w:pStyle w:val="Szvegtrzs"/>
        <w:keepNext/>
        <w:rPr>
          <w:sz w:val="22"/>
          <w:szCs w:val="22"/>
          <w:u w:val="single"/>
        </w:rPr>
      </w:pPr>
      <w:r>
        <w:rPr>
          <w:sz w:val="22"/>
          <w:szCs w:val="22"/>
          <w:u w:val="single"/>
        </w:rPr>
        <w:t>Enyhe és közepesen súlyos bőr- és lágyrészfertőzések</w:t>
      </w:r>
    </w:p>
    <w:p w14:paraId="46A2C63F" w14:textId="77777777" w:rsidR="002A3AC9" w:rsidRDefault="00EC5E4D">
      <w:pPr>
        <w:pStyle w:val="Szvegtrzs"/>
        <w:keepNext/>
        <w:rPr>
          <w:sz w:val="22"/>
          <w:szCs w:val="22"/>
        </w:rPr>
      </w:pPr>
      <w:r>
        <w:rPr>
          <w:sz w:val="22"/>
          <w:szCs w:val="22"/>
        </w:rPr>
        <w:t xml:space="preserve">Ezeket a fertőzéseket leggyakrabban </w:t>
      </w:r>
      <w:r>
        <w:rPr>
          <w:i/>
          <w:sz w:val="22"/>
          <w:szCs w:val="22"/>
        </w:rPr>
        <w:t>Staphylococcus aureus</w:t>
      </w:r>
      <w:r>
        <w:rPr>
          <w:sz w:val="22"/>
          <w:szCs w:val="22"/>
        </w:rPr>
        <w:t xml:space="preserve"> és </w:t>
      </w:r>
      <w:r>
        <w:rPr>
          <w:i/>
          <w:sz w:val="22"/>
          <w:szCs w:val="22"/>
        </w:rPr>
        <w:t>Streptococcus pyogenes</w:t>
      </w:r>
      <w:r>
        <w:rPr>
          <w:sz w:val="22"/>
          <w:szCs w:val="22"/>
        </w:rPr>
        <w:t xml:space="preserve"> okozza, melyek lehetnek makrolid-rezisztensek. Ezért fontos antibiotikum-érzékenységi tesztet végezni. Azokban az esetekben, amikor béta-laktám antibiotikum nem alkalmazható (például allergia miatt), más antibiotikumok, mint például a klindamicin az elsőként választandó szer. Jelenleg a makrolidok csak néhány bőr- és lágyrészfertőzés kezelésében játszhatnak szerepet, mint például a </w:t>
      </w:r>
      <w:r>
        <w:rPr>
          <w:i/>
          <w:sz w:val="22"/>
          <w:szCs w:val="22"/>
        </w:rPr>
        <w:t xml:space="preserve">Corynebacterium </w:t>
      </w:r>
      <w:r>
        <w:rPr>
          <w:i/>
          <w:sz w:val="22"/>
          <w:szCs w:val="22"/>
        </w:rPr>
        <w:lastRenderedPageBreak/>
        <w:t>minutissimum</w:t>
      </w:r>
      <w:r>
        <w:rPr>
          <w:sz w:val="22"/>
          <w:szCs w:val="22"/>
        </w:rPr>
        <w:t xml:space="preserve"> okozta fertőzések, acne vulgaris, erysipelas, valamint azokban az esetekben, mikor a penicillin-kezelés nem alkalmazható.</w:t>
      </w:r>
    </w:p>
    <w:p w14:paraId="6D9C4B3B" w14:textId="77777777" w:rsidR="002A3AC9" w:rsidRDefault="002A3AC9">
      <w:pPr>
        <w:pStyle w:val="Szvegtrzs"/>
        <w:rPr>
          <w:sz w:val="22"/>
          <w:szCs w:val="22"/>
        </w:rPr>
      </w:pPr>
    </w:p>
    <w:p w14:paraId="1FFF094D" w14:textId="59B5F295" w:rsidR="002A3AC9" w:rsidRDefault="00EC5E4D">
      <w:pPr>
        <w:pStyle w:val="Szvegtrzs"/>
        <w:rPr>
          <w:sz w:val="22"/>
          <w:szCs w:val="22"/>
        </w:rPr>
      </w:pPr>
      <w:r>
        <w:rPr>
          <w:sz w:val="22"/>
          <w:szCs w:val="22"/>
        </w:rPr>
        <w:t>Súlyos akut túlérzékenységi reakciók jelentkezése esetén, mint például anafilaxia, a bőrt érintő súlyos mellékhatások (severe cutaneous adverse reactions, SCAR) (például akut generalizált exantematózus pusztulózis, AGEP), Stevens–Johnson-szindróma, toxi</w:t>
      </w:r>
      <w:r w:rsidR="007F4DF4">
        <w:rPr>
          <w:sz w:val="22"/>
          <w:szCs w:val="22"/>
        </w:rPr>
        <w:t>c</w:t>
      </w:r>
      <w:r>
        <w:rPr>
          <w:sz w:val="22"/>
          <w:szCs w:val="22"/>
        </w:rPr>
        <w:t>us epidermalis necrolysis, valamint eozinofíliával és szisztémás tünetekkel járó gyógyszerkiütés (drug rash with eosinophilia and systemic symptoms, DRESS) esetén a klaritromicin-kezelést azonnal le kell állítani, és késedelem nélkül megfelelő terápiát kell elindítani.</w:t>
      </w:r>
    </w:p>
    <w:p w14:paraId="161493FC" w14:textId="77777777" w:rsidR="002A3AC9" w:rsidRDefault="002A3AC9">
      <w:pPr>
        <w:pStyle w:val="Szvegtrzs"/>
        <w:rPr>
          <w:sz w:val="22"/>
          <w:szCs w:val="22"/>
        </w:rPr>
      </w:pPr>
    </w:p>
    <w:p w14:paraId="2E7DE930" w14:textId="77777777" w:rsidR="002A3AC9" w:rsidRDefault="00EC5E4D">
      <w:pPr>
        <w:pStyle w:val="Szvegtrzs"/>
        <w:rPr>
          <w:sz w:val="22"/>
          <w:szCs w:val="22"/>
        </w:rPr>
      </w:pPr>
      <w:r>
        <w:rPr>
          <w:sz w:val="22"/>
          <w:szCs w:val="22"/>
        </w:rPr>
        <w:t>A klaritromicin óvatosan adható együtt olyan gyógyszerekkel, melyek a CYP3A4 izoenzim induktorai (lásd 4.5 pont).</w:t>
      </w:r>
    </w:p>
    <w:p w14:paraId="2F67AA95" w14:textId="77777777" w:rsidR="002A3AC9" w:rsidRDefault="002A3AC9">
      <w:pPr>
        <w:pStyle w:val="Szvegtrzs"/>
        <w:rPr>
          <w:sz w:val="22"/>
          <w:szCs w:val="22"/>
        </w:rPr>
      </w:pPr>
    </w:p>
    <w:p w14:paraId="3707EF4B" w14:textId="3428241B" w:rsidR="002A3AC9" w:rsidRDefault="00EC5E4D">
      <w:pPr>
        <w:pStyle w:val="Szvegtrzs"/>
        <w:rPr>
          <w:sz w:val="22"/>
          <w:szCs w:val="22"/>
          <w:u w:val="single"/>
        </w:rPr>
      </w:pPr>
      <w:smartTag w:uri="urn:schemas-microsoft-com:office:smarttags" w:element="stockticker">
        <w:r>
          <w:rPr>
            <w:sz w:val="22"/>
            <w:szCs w:val="22"/>
            <w:u w:val="single"/>
          </w:rPr>
          <w:t>HMG</w:t>
        </w:r>
      </w:smartTag>
      <w:r>
        <w:rPr>
          <w:sz w:val="22"/>
          <w:szCs w:val="22"/>
          <w:u w:val="single"/>
        </w:rPr>
        <w:t>-CoA-reduk</w:t>
      </w:r>
      <w:r w:rsidR="008B2746">
        <w:rPr>
          <w:sz w:val="22"/>
          <w:szCs w:val="22"/>
          <w:u w:val="single"/>
        </w:rPr>
        <w:t>táz-g</w:t>
      </w:r>
      <w:r>
        <w:rPr>
          <w:sz w:val="22"/>
          <w:szCs w:val="22"/>
          <w:u w:val="single"/>
        </w:rPr>
        <w:t>átlók (sztatinok)</w:t>
      </w:r>
    </w:p>
    <w:p w14:paraId="4673EFEE" w14:textId="77777777" w:rsidR="002A3AC9" w:rsidRDefault="00EC5E4D">
      <w:pPr>
        <w:pStyle w:val="Szvegtrzs"/>
        <w:rPr>
          <w:sz w:val="22"/>
          <w:szCs w:val="22"/>
        </w:rPr>
      </w:pPr>
      <w:r>
        <w:rPr>
          <w:sz w:val="22"/>
          <w:szCs w:val="22"/>
        </w:rPr>
        <w:t xml:space="preserve">A klaritromicin lovasztatinnal, illetve szimvasztatinnal való egyidejű alkalmazása ellenjavallt (lásd 4.3 pont). </w:t>
      </w:r>
      <w:r>
        <w:rPr>
          <w:noProof/>
          <w:sz w:val="22"/>
          <w:szCs w:val="22"/>
        </w:rPr>
        <w:t>Óvatosság ajánlott a klaritromicin és egyéb sztatinok egyidejű alkalmazása esetén. Rhabdomyolysist jelentettek olyan betegeknél, akik a klaritromicint sztatinokkal egyidejűleg szedték</w:t>
      </w:r>
      <w:r>
        <w:rPr>
          <w:sz w:val="22"/>
          <w:szCs w:val="22"/>
        </w:rPr>
        <w:t>. A betegeket myopathia jeleire és tüneteire monitorozni kell</w:t>
      </w:r>
      <w:r>
        <w:rPr>
          <w:noProof/>
          <w:sz w:val="22"/>
          <w:szCs w:val="22"/>
        </w:rPr>
        <w:t>. Ha a klaritromicin és a sztatinok együttadását nem lehet elkerülni, a sztatin lehető legkisebb adagját ajánlott rendelni.</w:t>
      </w:r>
      <w:r>
        <w:rPr>
          <w:sz w:val="22"/>
          <w:szCs w:val="22"/>
        </w:rPr>
        <w:t xml:space="preserve"> Fontolóra kell venni olyan sztatin alkalmazását, amelyik nem függ a CYP3A-metabolizmustól (például fluvasztatin) (lásd 4.5 pont).</w:t>
      </w:r>
    </w:p>
    <w:p w14:paraId="68C85593" w14:textId="77777777" w:rsidR="002A3AC9" w:rsidRDefault="002A3AC9">
      <w:pPr>
        <w:pStyle w:val="WW-Szvegtrzs31"/>
        <w:rPr>
          <w:szCs w:val="22"/>
        </w:rPr>
      </w:pPr>
    </w:p>
    <w:p w14:paraId="6887D99E" w14:textId="77777777" w:rsidR="002A3AC9" w:rsidRDefault="00EC5E4D">
      <w:pPr>
        <w:pStyle w:val="Szvegtrzs"/>
        <w:rPr>
          <w:sz w:val="22"/>
          <w:szCs w:val="22"/>
          <w:u w:val="single"/>
        </w:rPr>
      </w:pPr>
      <w:r>
        <w:rPr>
          <w:sz w:val="22"/>
          <w:szCs w:val="22"/>
          <w:u w:val="single"/>
        </w:rPr>
        <w:t>Orális antidiabetikumok/inzulin</w:t>
      </w:r>
    </w:p>
    <w:p w14:paraId="3EB46DD9" w14:textId="77777777" w:rsidR="002A3AC9" w:rsidRDefault="00EC5E4D">
      <w:pPr>
        <w:rPr>
          <w:sz w:val="22"/>
          <w:szCs w:val="22"/>
        </w:rPr>
      </w:pPr>
      <w:r>
        <w:rPr>
          <w:i/>
          <w:sz w:val="22"/>
          <w:szCs w:val="22"/>
        </w:rPr>
        <w:t>Per os</w:t>
      </w:r>
      <w:r>
        <w:rPr>
          <w:sz w:val="22"/>
          <w:szCs w:val="22"/>
        </w:rPr>
        <w:t xml:space="preserve"> vércukorszint-csökkentő gyógyszerek (mint például szulfonilureák) és/vagy inzulin együttadása klaritromicinnel jelentős hypoglykaemiát eredményezhet. A vércukorszint szoros ellenőrzése szükséges (lásd 4.5 pont).</w:t>
      </w:r>
    </w:p>
    <w:p w14:paraId="2AE6E371" w14:textId="77777777" w:rsidR="002A3AC9" w:rsidRDefault="002A3AC9">
      <w:pPr>
        <w:pStyle w:val="Szvegtrzs"/>
        <w:rPr>
          <w:sz w:val="22"/>
          <w:szCs w:val="22"/>
        </w:rPr>
      </w:pPr>
    </w:p>
    <w:p w14:paraId="76B03612" w14:textId="77777777" w:rsidR="002A3AC9" w:rsidRDefault="00EC5E4D">
      <w:pPr>
        <w:pStyle w:val="Szvegtrzs"/>
        <w:rPr>
          <w:sz w:val="22"/>
          <w:szCs w:val="22"/>
          <w:u w:val="single"/>
        </w:rPr>
      </w:pPr>
      <w:r>
        <w:rPr>
          <w:sz w:val="22"/>
          <w:szCs w:val="22"/>
          <w:u w:val="single"/>
        </w:rPr>
        <w:t>Orális antikoagulánsok</w:t>
      </w:r>
    </w:p>
    <w:p w14:paraId="61175071" w14:textId="77777777" w:rsidR="002A3AC9" w:rsidRDefault="00EC5E4D">
      <w:pPr>
        <w:pStyle w:val="Szvegtrzs"/>
        <w:rPr>
          <w:sz w:val="22"/>
          <w:szCs w:val="22"/>
        </w:rPr>
      </w:pPr>
      <w:r>
        <w:rPr>
          <w:sz w:val="22"/>
          <w:szCs w:val="22"/>
        </w:rPr>
        <w:t>A klaritromicin és warfarin együttes adása súlyos vérzést és az INR, valamint a protrombin idő jelentős emelkedését eredményezheti (lásd 4.5 pont). Az INR értéket és a protrombin időt gyakran kell ellenőrizni, amikor a beteg egyidejűleg klaritromicint és orális antikoagulánst kap.</w:t>
      </w:r>
    </w:p>
    <w:p w14:paraId="5675DB49" w14:textId="77777777" w:rsidR="002A3AC9" w:rsidRDefault="00EC5E4D">
      <w:pPr>
        <w:pStyle w:val="Szvegtrzs"/>
        <w:rPr>
          <w:sz w:val="22"/>
          <w:szCs w:val="22"/>
        </w:rPr>
      </w:pPr>
      <w:r>
        <w:rPr>
          <w:sz w:val="22"/>
          <w:szCs w:val="22"/>
        </w:rPr>
        <w:t>Óvatosság szükséges, ha a klaritromicint együtt adják direkt orális antikoagulánsokkal, pl. dabigatránnal, rivaroxabánnal, apixabánnal vagy edoxabánnal, különösen jelentős vérzési kockázatú betegeknél (lásd 4.5 pont).</w:t>
      </w:r>
    </w:p>
    <w:p w14:paraId="026A705E" w14:textId="77777777" w:rsidR="002A3AC9" w:rsidRDefault="002A3AC9">
      <w:pPr>
        <w:pStyle w:val="Szvegtrzs"/>
        <w:rPr>
          <w:sz w:val="22"/>
          <w:szCs w:val="22"/>
        </w:rPr>
      </w:pPr>
    </w:p>
    <w:p w14:paraId="48656864" w14:textId="77777777" w:rsidR="002A3AC9" w:rsidRDefault="00EC5E4D">
      <w:pPr>
        <w:pStyle w:val="Szvegtrzs"/>
        <w:rPr>
          <w:sz w:val="22"/>
          <w:szCs w:val="22"/>
        </w:rPr>
      </w:pPr>
      <w:r>
        <w:rPr>
          <w:sz w:val="22"/>
          <w:szCs w:val="22"/>
        </w:rPr>
        <w:t>A készítmény hosszú távú alkalmazása a rezisztens baktériumok vagy gombák elszaporodását eredményezheti. Felülfertőződés esetén megfelelő kezelést kell elindítani.</w:t>
      </w:r>
    </w:p>
    <w:p w14:paraId="75629E8B" w14:textId="77777777" w:rsidR="002A3AC9" w:rsidRDefault="002A3AC9">
      <w:pPr>
        <w:pStyle w:val="Szvegtrzs"/>
        <w:rPr>
          <w:sz w:val="22"/>
          <w:szCs w:val="22"/>
        </w:rPr>
      </w:pPr>
    </w:p>
    <w:p w14:paraId="63691FA6" w14:textId="77777777" w:rsidR="002A3AC9" w:rsidRDefault="00EC5E4D">
      <w:pPr>
        <w:pStyle w:val="Szvegtrzs"/>
        <w:rPr>
          <w:sz w:val="22"/>
          <w:szCs w:val="22"/>
        </w:rPr>
      </w:pPr>
      <w:r>
        <w:rPr>
          <w:sz w:val="22"/>
          <w:szCs w:val="22"/>
        </w:rPr>
        <w:t>Figyelmet kell fordítani arra, hogy a klaritromicin keresztrezisztenciát mutathat más makrolid antibiotikummal, valamint linkomicinnel és klindamicinnel szemben.</w:t>
      </w:r>
    </w:p>
    <w:p w14:paraId="52F00589" w14:textId="77777777" w:rsidR="002A3AC9" w:rsidRDefault="002A3AC9">
      <w:pPr>
        <w:pStyle w:val="WW-Szvegtrzs31"/>
        <w:rPr>
          <w:szCs w:val="22"/>
        </w:rPr>
      </w:pPr>
    </w:p>
    <w:p w14:paraId="7BE2C93B" w14:textId="2032946F" w:rsidR="00726EF8" w:rsidRPr="00AC474F" w:rsidRDefault="00726EF8">
      <w:pPr>
        <w:pStyle w:val="WW-Szvegtrzs31"/>
        <w:rPr>
          <w:szCs w:val="22"/>
          <w:u w:val="single"/>
        </w:rPr>
      </w:pPr>
      <w:r w:rsidRPr="00AC474F">
        <w:rPr>
          <w:szCs w:val="22"/>
          <w:u w:val="single"/>
        </w:rPr>
        <w:t>Segédany</w:t>
      </w:r>
      <w:r>
        <w:rPr>
          <w:szCs w:val="22"/>
          <w:u w:val="single"/>
        </w:rPr>
        <w:t>a</w:t>
      </w:r>
      <w:r w:rsidRPr="00AC474F">
        <w:rPr>
          <w:szCs w:val="22"/>
          <w:u w:val="single"/>
        </w:rPr>
        <w:t>gok</w:t>
      </w:r>
    </w:p>
    <w:p w14:paraId="5D1137A1" w14:textId="2F0694FB" w:rsidR="002A3AC9" w:rsidRDefault="00EC5E4D">
      <w:pPr>
        <w:tabs>
          <w:tab w:val="left" w:pos="567"/>
        </w:tabs>
        <w:rPr>
          <w:sz w:val="22"/>
          <w:szCs w:val="22"/>
        </w:rPr>
      </w:pPr>
      <w:r>
        <w:rPr>
          <w:sz w:val="22"/>
          <w:szCs w:val="22"/>
        </w:rPr>
        <w:t>A Fromilid 125 mg/5 ml</w:t>
      </w:r>
      <w:r>
        <w:rPr>
          <w:b/>
          <w:sz w:val="22"/>
          <w:szCs w:val="22"/>
        </w:rPr>
        <w:t xml:space="preserve"> </w:t>
      </w:r>
      <w:r>
        <w:rPr>
          <w:sz w:val="22"/>
          <w:szCs w:val="22"/>
        </w:rPr>
        <w:t xml:space="preserve">granulátum belsőleges szuszpenzióhoz készítmény </w:t>
      </w:r>
      <w:r w:rsidR="00726EF8">
        <w:rPr>
          <w:sz w:val="22"/>
          <w:szCs w:val="22"/>
        </w:rPr>
        <w:t xml:space="preserve">1650,83 mg </w:t>
      </w:r>
      <w:r>
        <w:rPr>
          <w:sz w:val="22"/>
          <w:szCs w:val="22"/>
        </w:rPr>
        <w:t>szacharózt tartalmaz</w:t>
      </w:r>
      <w:r w:rsidR="00726EF8">
        <w:rPr>
          <w:sz w:val="22"/>
          <w:szCs w:val="22"/>
        </w:rPr>
        <w:t xml:space="preserve"> az elkészített szuszpenzió 5 ml-ében</w:t>
      </w:r>
      <w:r>
        <w:rPr>
          <w:sz w:val="22"/>
          <w:szCs w:val="22"/>
        </w:rPr>
        <w:t>. Ritkán előforduló, örökletes fruktóz</w:t>
      </w:r>
      <w:r>
        <w:rPr>
          <w:sz w:val="22"/>
          <w:szCs w:val="22"/>
        </w:rPr>
        <w:noBreakHyphen/>
        <w:t>intoleranciában, glükóz</w:t>
      </w:r>
      <w:r>
        <w:rPr>
          <w:sz w:val="22"/>
          <w:szCs w:val="22"/>
        </w:rPr>
        <w:noBreakHyphen/>
        <w:t>galaktóz malabszorpcióban</w:t>
      </w:r>
      <w:r>
        <w:rPr>
          <w:rStyle w:val="apple-converted-space"/>
          <w:sz w:val="22"/>
          <w:szCs w:val="22"/>
        </w:rPr>
        <w:t xml:space="preserve"> </w:t>
      </w:r>
      <w:r>
        <w:rPr>
          <w:sz w:val="22"/>
          <w:szCs w:val="22"/>
        </w:rPr>
        <w:t>vagy szacharáz-izomaltáz hiányban a készítmény nem szedhető.</w:t>
      </w:r>
    </w:p>
    <w:p w14:paraId="788FF3AD" w14:textId="77777777" w:rsidR="002A3AC9" w:rsidRPr="00AC474F" w:rsidRDefault="002A3AC9">
      <w:pPr>
        <w:pStyle w:val="02"/>
        <w:tabs>
          <w:tab w:val="left" w:pos="567"/>
        </w:tabs>
        <w:spacing w:before="0" w:after="0" w:line="240" w:lineRule="auto"/>
        <w:ind w:firstLine="0"/>
        <w:rPr>
          <w:b w:val="0"/>
          <w:bCs/>
          <w:sz w:val="22"/>
          <w:szCs w:val="22"/>
        </w:rPr>
      </w:pPr>
    </w:p>
    <w:p w14:paraId="45842C08" w14:textId="77777777" w:rsidR="002A3AC9" w:rsidRDefault="00EC5E4D">
      <w:pPr>
        <w:pStyle w:val="02"/>
        <w:keepNext/>
        <w:tabs>
          <w:tab w:val="left" w:pos="567"/>
        </w:tabs>
        <w:spacing w:before="0" w:after="0" w:line="240" w:lineRule="auto"/>
        <w:ind w:firstLine="0"/>
        <w:rPr>
          <w:sz w:val="22"/>
          <w:szCs w:val="22"/>
        </w:rPr>
      </w:pPr>
      <w:r>
        <w:rPr>
          <w:sz w:val="22"/>
          <w:szCs w:val="22"/>
        </w:rPr>
        <w:t>4.5</w:t>
      </w:r>
      <w:r>
        <w:rPr>
          <w:sz w:val="22"/>
          <w:szCs w:val="22"/>
        </w:rPr>
        <w:tab/>
        <w:t>Gyógyszerkölcsönhatások és egyéb interakciók</w:t>
      </w:r>
    </w:p>
    <w:p w14:paraId="7A9A163B" w14:textId="77777777" w:rsidR="002A3AC9" w:rsidRDefault="002A3AC9">
      <w:pPr>
        <w:keepNext/>
        <w:tabs>
          <w:tab w:val="left" w:pos="567"/>
        </w:tabs>
        <w:rPr>
          <w:sz w:val="22"/>
          <w:szCs w:val="22"/>
        </w:rPr>
      </w:pPr>
    </w:p>
    <w:p w14:paraId="0453C1C9" w14:textId="77777777" w:rsidR="002A3AC9" w:rsidRDefault="00EC5E4D">
      <w:pPr>
        <w:pStyle w:val="Szvegtrzs"/>
        <w:keepNext/>
        <w:rPr>
          <w:b/>
          <w:sz w:val="22"/>
          <w:szCs w:val="22"/>
        </w:rPr>
      </w:pPr>
      <w:r>
        <w:rPr>
          <w:b/>
          <w:sz w:val="22"/>
          <w:szCs w:val="22"/>
        </w:rPr>
        <w:t>Az alábbi gyógyszerek adása szigorúan ellenjavallt a súlyos gyógyszerkölcsönhatások kialakulásának lehetősége miatt</w:t>
      </w:r>
    </w:p>
    <w:p w14:paraId="1C3DE24F" w14:textId="77777777" w:rsidR="002A3AC9" w:rsidRDefault="002A3AC9">
      <w:pPr>
        <w:pStyle w:val="Szvegtrzs"/>
        <w:rPr>
          <w:sz w:val="22"/>
          <w:szCs w:val="22"/>
        </w:rPr>
      </w:pPr>
    </w:p>
    <w:p w14:paraId="0D1FC393" w14:textId="77777777" w:rsidR="002A3AC9" w:rsidRDefault="00EC5E4D">
      <w:pPr>
        <w:pStyle w:val="Szvegtrzs"/>
        <w:rPr>
          <w:sz w:val="22"/>
          <w:szCs w:val="22"/>
          <w:u w:val="single"/>
        </w:rPr>
      </w:pPr>
      <w:r>
        <w:rPr>
          <w:sz w:val="22"/>
          <w:szCs w:val="22"/>
          <w:u w:val="single"/>
        </w:rPr>
        <w:t>Asztemizol, ciszaprid, domperidon, pimozid és terfenadin</w:t>
      </w:r>
    </w:p>
    <w:p w14:paraId="169E8DD6" w14:textId="77777777" w:rsidR="002A3AC9" w:rsidRDefault="00EC5E4D">
      <w:pPr>
        <w:tabs>
          <w:tab w:val="num" w:pos="540"/>
        </w:tabs>
        <w:rPr>
          <w:sz w:val="22"/>
          <w:szCs w:val="22"/>
        </w:rPr>
      </w:pPr>
      <w:r>
        <w:rPr>
          <w:sz w:val="22"/>
          <w:szCs w:val="22"/>
        </w:rPr>
        <w:t xml:space="preserve">A ciszaprid koncentrációjának emelkedését jelentették olyan betegeknél, akik egyidejűleg klaritromicint és ciszapridot kaptak. Ez a QT-szakasz megnyúlását és szívritmuszavart, beleértve kamrai tachycardiát, kamrafibrillációt és </w:t>
      </w:r>
      <w:r>
        <w:rPr>
          <w:i/>
          <w:sz w:val="22"/>
          <w:szCs w:val="22"/>
        </w:rPr>
        <w:t>torsade de pointes-</w:t>
      </w:r>
      <w:r>
        <w:rPr>
          <w:sz w:val="22"/>
          <w:szCs w:val="22"/>
        </w:rPr>
        <w:t>ot okozhat. Hasonló hatást figyeltek meg pimozid és klaritromicin együttadásakor (lásd 4.3 pont).</w:t>
      </w:r>
    </w:p>
    <w:p w14:paraId="5BB3FD64" w14:textId="77777777" w:rsidR="002A3AC9" w:rsidRDefault="002A3AC9">
      <w:pPr>
        <w:tabs>
          <w:tab w:val="num" w:pos="540"/>
        </w:tabs>
        <w:rPr>
          <w:sz w:val="22"/>
          <w:szCs w:val="22"/>
        </w:rPr>
      </w:pPr>
    </w:p>
    <w:p w14:paraId="230CDD71" w14:textId="77777777" w:rsidR="002A3AC9" w:rsidRDefault="00EC5E4D">
      <w:pPr>
        <w:tabs>
          <w:tab w:val="num" w:pos="540"/>
        </w:tabs>
        <w:rPr>
          <w:sz w:val="22"/>
          <w:szCs w:val="22"/>
        </w:rPr>
      </w:pPr>
      <w:r>
        <w:rPr>
          <w:sz w:val="22"/>
          <w:szCs w:val="22"/>
        </w:rPr>
        <w:lastRenderedPageBreak/>
        <w:t xml:space="preserve">Megfigyelték a makrolidok terfenadin metabolizmusának fokozódását és így koncentrációjának emelkedését okozó hatását, ami esetenként szívritmuszavart, beleértve a QT-szakasz megnyúlását, kamrai tachycardiát, kamrafibrillációt és </w:t>
      </w:r>
      <w:r>
        <w:rPr>
          <w:i/>
          <w:sz w:val="22"/>
          <w:szCs w:val="22"/>
        </w:rPr>
        <w:t>torsade de pointes-</w:t>
      </w:r>
      <w:r>
        <w:rPr>
          <w:sz w:val="22"/>
          <w:szCs w:val="22"/>
        </w:rPr>
        <w:t xml:space="preserve">ot eredményezhet (lásd 4.3 pont). Egy 14 egészséges önkéntessel végzett vizsgálatban a klaritromicin és terfenadin együttes alkalmazásakor a terfenadin </w:t>
      </w:r>
      <w:r>
        <w:rPr>
          <w:noProof/>
          <w:sz w:val="22"/>
          <w:szCs w:val="22"/>
        </w:rPr>
        <w:t xml:space="preserve">savmetabolitja </w:t>
      </w:r>
      <w:r>
        <w:rPr>
          <w:sz w:val="22"/>
          <w:szCs w:val="22"/>
        </w:rPr>
        <w:t>plazmaszintjének 2-3-szoros emelkedését és a QT-szakasz megnyúlását észlelték, ami azonban nem járt klinikailag mérhető hatással. Hasonló hatást figyeltek meg asztemizol és más makrolidok együttadásakor.</w:t>
      </w:r>
    </w:p>
    <w:p w14:paraId="3F97F20C" w14:textId="77777777" w:rsidR="002A3AC9" w:rsidRDefault="002A3AC9">
      <w:pPr>
        <w:tabs>
          <w:tab w:val="num" w:pos="540"/>
        </w:tabs>
        <w:rPr>
          <w:sz w:val="22"/>
          <w:szCs w:val="22"/>
        </w:rPr>
      </w:pPr>
    </w:p>
    <w:p w14:paraId="432D8077" w14:textId="77777777" w:rsidR="002A3AC9" w:rsidRDefault="00EC5E4D">
      <w:pPr>
        <w:tabs>
          <w:tab w:val="num" w:pos="540"/>
        </w:tabs>
        <w:rPr>
          <w:sz w:val="22"/>
          <w:szCs w:val="22"/>
          <w:u w:val="single"/>
        </w:rPr>
      </w:pPr>
      <w:r>
        <w:rPr>
          <w:sz w:val="22"/>
          <w:szCs w:val="22"/>
          <w:u w:val="single"/>
        </w:rPr>
        <w:t>Ergotamin/dihidroergotamin</w:t>
      </w:r>
    </w:p>
    <w:p w14:paraId="43A6215C" w14:textId="77777777" w:rsidR="002A3AC9" w:rsidRDefault="00EC5E4D">
      <w:pPr>
        <w:tabs>
          <w:tab w:val="num" w:pos="540"/>
        </w:tabs>
        <w:rPr>
          <w:sz w:val="22"/>
          <w:szCs w:val="22"/>
        </w:rPr>
      </w:pPr>
      <w:r>
        <w:rPr>
          <w:sz w:val="22"/>
          <w:szCs w:val="22"/>
        </w:rPr>
        <w:t>Forgalomba hozatalt követő megfigyelések alapján klaritromicin ergotaminnal vagy dihidroergotaminnal való együtt adásakor akut ergot-toxicitást tapasztaltak</w:t>
      </w:r>
      <w:r>
        <w:rPr>
          <w:color w:val="000000"/>
          <w:sz w:val="22"/>
          <w:szCs w:val="22"/>
        </w:rPr>
        <w:t>, mely vazospazmusban, végtagi és egyéb szöveti – beleértve a központi idegrendszert – ischaemiában nyilvánult meg.</w:t>
      </w:r>
      <w:r>
        <w:rPr>
          <w:sz w:val="22"/>
          <w:szCs w:val="22"/>
        </w:rPr>
        <w:t xml:space="preserve"> Ezért ez a kombináció ellenjavallt (lásd 4.3 pont).</w:t>
      </w:r>
    </w:p>
    <w:p w14:paraId="575A8EE0" w14:textId="77777777" w:rsidR="002A3AC9" w:rsidRDefault="002A3AC9">
      <w:pPr>
        <w:rPr>
          <w:sz w:val="22"/>
          <w:szCs w:val="22"/>
          <w:u w:val="single"/>
        </w:rPr>
      </w:pPr>
    </w:p>
    <w:p w14:paraId="48281A04" w14:textId="77777777" w:rsidR="002A3AC9" w:rsidRDefault="00EC5E4D">
      <w:pPr>
        <w:rPr>
          <w:sz w:val="22"/>
          <w:szCs w:val="22"/>
          <w:u w:val="single"/>
        </w:rPr>
      </w:pPr>
      <w:r>
        <w:rPr>
          <w:sz w:val="22"/>
          <w:szCs w:val="22"/>
          <w:u w:val="single"/>
        </w:rPr>
        <w:t>Orális midazolám</w:t>
      </w:r>
    </w:p>
    <w:p w14:paraId="457AE1D8" w14:textId="77777777" w:rsidR="002A3AC9" w:rsidRDefault="00EC5E4D">
      <w:pPr>
        <w:rPr>
          <w:sz w:val="22"/>
          <w:szCs w:val="22"/>
        </w:rPr>
      </w:pPr>
      <w:r>
        <w:rPr>
          <w:sz w:val="22"/>
          <w:szCs w:val="22"/>
        </w:rPr>
        <w:t>Orális midazolám klaritromicinnel (napi kétszer 500 mg) történő együttadása esetén a midazolám görbe alatti területe (AUC) hétszeresére nőtt orális midazolám adását követően. Orális midazolám és klaritromicin együttadása ellenjavallt (lásd 4.3 pont).</w:t>
      </w:r>
    </w:p>
    <w:p w14:paraId="163705DF" w14:textId="77777777" w:rsidR="002A3AC9" w:rsidRDefault="002A3AC9">
      <w:pPr>
        <w:tabs>
          <w:tab w:val="num" w:pos="540"/>
        </w:tabs>
        <w:rPr>
          <w:sz w:val="22"/>
          <w:szCs w:val="22"/>
        </w:rPr>
      </w:pPr>
    </w:p>
    <w:p w14:paraId="57E8ECCA" w14:textId="02FE01D2" w:rsidR="002A3AC9" w:rsidRDefault="00EC5E4D">
      <w:pPr>
        <w:keepNext/>
        <w:tabs>
          <w:tab w:val="num" w:pos="540"/>
        </w:tabs>
        <w:rPr>
          <w:sz w:val="22"/>
          <w:szCs w:val="22"/>
          <w:u w:val="single"/>
        </w:rPr>
      </w:pPr>
      <w:r>
        <w:rPr>
          <w:sz w:val="22"/>
          <w:szCs w:val="22"/>
          <w:u w:val="single"/>
        </w:rPr>
        <w:t>HMG-CoA-reduk</w:t>
      </w:r>
      <w:r w:rsidR="008B2746">
        <w:rPr>
          <w:sz w:val="22"/>
          <w:szCs w:val="22"/>
          <w:u w:val="single"/>
        </w:rPr>
        <w:t>táz-g</w:t>
      </w:r>
      <w:r>
        <w:rPr>
          <w:sz w:val="22"/>
          <w:szCs w:val="22"/>
          <w:u w:val="single"/>
        </w:rPr>
        <w:t>átlók (sztatinok)</w:t>
      </w:r>
    </w:p>
    <w:p w14:paraId="1DD0E4BD" w14:textId="77777777" w:rsidR="002A3AC9" w:rsidRDefault="00EC5E4D">
      <w:pPr>
        <w:keepNext/>
        <w:tabs>
          <w:tab w:val="num" w:pos="540"/>
        </w:tabs>
        <w:rPr>
          <w:sz w:val="22"/>
          <w:szCs w:val="22"/>
        </w:rPr>
      </w:pPr>
      <w:r>
        <w:rPr>
          <w:sz w:val="22"/>
          <w:szCs w:val="22"/>
        </w:rPr>
        <w:t>A klaritromicin szimvasztatinnal vagy lovasztatinnal történő együttadása ellenjavallt (lásd 4.3 pont), mivel ezeket a sztatinokat a CYP3A4 nagymértékben metabolizálja, így az egyidejű klaritromicin</w:t>
      </w:r>
      <w:r>
        <w:rPr>
          <w:sz w:val="22"/>
          <w:szCs w:val="22"/>
        </w:rPr>
        <w:noBreakHyphen/>
        <w:t xml:space="preserve">kezelés megnöveli a plazmakoncentrációjukat, amely fokozza a myopathia, beleértve a rhabdomyolysis kockázatát. Beszámoltak rhabdomyolysis előfordulásáról olyan betegek esetében, akik a klaritromicint együtt szedték ezekkel a sztatinokkal. Amennyiben a klaritromicin-kezelést </w:t>
      </w:r>
      <w:r>
        <w:rPr>
          <w:noProof/>
          <w:sz w:val="22"/>
          <w:szCs w:val="22"/>
        </w:rPr>
        <w:t>nem lehet elkerülni</w:t>
      </w:r>
      <w:r>
        <w:rPr>
          <w:sz w:val="22"/>
          <w:szCs w:val="22"/>
        </w:rPr>
        <w:t>, a lovasztatin- vagy szimvasztatin-terápiát fel kell függeszteni a kezelés ideje alatt.</w:t>
      </w:r>
    </w:p>
    <w:p w14:paraId="71E3FAF4" w14:textId="77777777" w:rsidR="002A3AC9" w:rsidRDefault="002A3AC9">
      <w:pPr>
        <w:rPr>
          <w:sz w:val="22"/>
          <w:szCs w:val="22"/>
        </w:rPr>
      </w:pPr>
    </w:p>
    <w:p w14:paraId="521F49BE" w14:textId="77777777" w:rsidR="002A3AC9" w:rsidRDefault="00EC5E4D">
      <w:pPr>
        <w:rPr>
          <w:sz w:val="22"/>
          <w:szCs w:val="22"/>
        </w:rPr>
      </w:pPr>
      <w:r>
        <w:rPr>
          <w:sz w:val="22"/>
          <w:szCs w:val="22"/>
        </w:rPr>
        <w:t xml:space="preserve">A klaritromicin sztatinokkal való együttes felírása során elővigyázatosság szükséges. </w:t>
      </w:r>
      <w:r>
        <w:rPr>
          <w:noProof/>
          <w:sz w:val="22"/>
          <w:szCs w:val="22"/>
        </w:rPr>
        <w:t xml:space="preserve">Ha a klaritromicin és a sztatinok együttadását nem lehet elkerülni, a sztatin lehető legkisebb adagját ajánlott rendelni. </w:t>
      </w:r>
      <w:r>
        <w:rPr>
          <w:sz w:val="22"/>
          <w:szCs w:val="22"/>
        </w:rPr>
        <w:t>Fontolóra kell venni olyan sztatin alkalmazását, amelyik nem függ a CYP3A</w:t>
      </w:r>
      <w:r>
        <w:rPr>
          <w:sz w:val="22"/>
          <w:szCs w:val="22"/>
        </w:rPr>
        <w:noBreakHyphen/>
        <w:t>metabolizmustól (például fluvasztatin). A betegeket myopathia jeleire és tüneteire monitorozni kell.</w:t>
      </w:r>
    </w:p>
    <w:p w14:paraId="155CD578" w14:textId="77777777" w:rsidR="002A3AC9" w:rsidRDefault="002A3AC9">
      <w:pPr>
        <w:tabs>
          <w:tab w:val="left" w:pos="567"/>
        </w:tabs>
        <w:rPr>
          <w:sz w:val="22"/>
          <w:szCs w:val="22"/>
        </w:rPr>
      </w:pPr>
    </w:p>
    <w:p w14:paraId="25760F19" w14:textId="77777777" w:rsidR="002A3AC9" w:rsidRDefault="00EC5E4D">
      <w:pPr>
        <w:pStyle w:val="Szvegtrzs"/>
        <w:rPr>
          <w:b/>
          <w:sz w:val="22"/>
          <w:szCs w:val="22"/>
        </w:rPr>
      </w:pPr>
      <w:r>
        <w:rPr>
          <w:b/>
          <w:sz w:val="22"/>
          <w:szCs w:val="22"/>
        </w:rPr>
        <w:t>Más gyógyszerek hatása a klaritromicinre</w:t>
      </w:r>
    </w:p>
    <w:p w14:paraId="3D2DF5E5" w14:textId="77777777" w:rsidR="002A3AC9" w:rsidRPr="00AC474F" w:rsidRDefault="002A3AC9">
      <w:pPr>
        <w:pStyle w:val="Szvegtrzs"/>
        <w:rPr>
          <w:bCs/>
          <w:sz w:val="22"/>
          <w:szCs w:val="22"/>
        </w:rPr>
      </w:pPr>
    </w:p>
    <w:p w14:paraId="273F146E" w14:textId="77777777" w:rsidR="002A3AC9" w:rsidRDefault="00EC5E4D">
      <w:pPr>
        <w:rPr>
          <w:sz w:val="22"/>
          <w:szCs w:val="22"/>
        </w:rPr>
      </w:pPr>
      <w:r>
        <w:rPr>
          <w:spacing w:val="-4"/>
          <w:sz w:val="22"/>
          <w:szCs w:val="22"/>
        </w:rPr>
        <w:t>A CYP3A4 izoenzim induktorai (például rifampicin, fenitoin, karbamazepin, fenobarbitál, közönséges orbáncfű</w:t>
      </w:r>
      <w:r>
        <w:rPr>
          <w:sz w:val="22"/>
          <w:szCs w:val="22"/>
        </w:rPr>
        <w:t>) fokozhatják a klaritromicin lebontását – emiatt csökkenhet annak szérumszintje és terápiás hatása. Továbbá a CYP3A4-induktor plazmaszintjének ellenőrzése szükségessé válhat, mert az – a klaritromicin CYP3A4 aktivitását gátló hatása következtében – emelkedhet (</w:t>
      </w:r>
      <w:r>
        <w:rPr>
          <w:iCs/>
          <w:sz w:val="22"/>
          <w:szCs w:val="22"/>
        </w:rPr>
        <w:t>lásd még</w:t>
      </w:r>
      <w:r>
        <w:rPr>
          <w:i/>
          <w:iCs/>
          <w:sz w:val="22"/>
          <w:szCs w:val="22"/>
        </w:rPr>
        <w:t xml:space="preserve"> </w:t>
      </w:r>
      <w:r>
        <w:rPr>
          <w:sz w:val="22"/>
          <w:szCs w:val="22"/>
        </w:rPr>
        <w:t>az alkalmazott CYP3A4-gátlóval kapcsolatos, ide vonatkozó tudnivalókat). Kombinált alkalmazás esetén a rifabutin szintje emelkedik, a klaritromiciné viszont csökken, és ennek következtében fokozott az uveitis kialakulásának kockázata.</w:t>
      </w:r>
    </w:p>
    <w:p w14:paraId="39FF8951" w14:textId="77777777" w:rsidR="002A3AC9" w:rsidRDefault="002A3AC9">
      <w:pPr>
        <w:rPr>
          <w:sz w:val="22"/>
          <w:szCs w:val="22"/>
        </w:rPr>
      </w:pPr>
    </w:p>
    <w:p w14:paraId="1B43BB99" w14:textId="77777777" w:rsidR="002A3AC9" w:rsidRDefault="00EC5E4D">
      <w:pPr>
        <w:rPr>
          <w:sz w:val="22"/>
          <w:szCs w:val="22"/>
        </w:rPr>
      </w:pPr>
      <w:r>
        <w:rPr>
          <w:sz w:val="22"/>
          <w:szCs w:val="22"/>
        </w:rPr>
        <w:t>A következő gyógyszerek ismerten vagy feltételezhetően befolyásolják a klaritromicin koncentrációját a keringésben, ezért a klaritromicin dózisának módosítása vagy más választható terápia válhat szükségessé.</w:t>
      </w:r>
    </w:p>
    <w:p w14:paraId="1080A7E3" w14:textId="77777777" w:rsidR="002A3AC9" w:rsidRDefault="002A3AC9">
      <w:pPr>
        <w:rPr>
          <w:sz w:val="22"/>
          <w:szCs w:val="22"/>
        </w:rPr>
      </w:pPr>
    </w:p>
    <w:p w14:paraId="32B577FF" w14:textId="77777777" w:rsidR="002A3AC9" w:rsidRDefault="00EC5E4D">
      <w:pPr>
        <w:pStyle w:val="lfej"/>
        <w:rPr>
          <w:bCs/>
          <w:sz w:val="22"/>
          <w:szCs w:val="22"/>
          <w:u w:val="single"/>
        </w:rPr>
      </w:pPr>
      <w:r>
        <w:rPr>
          <w:bCs/>
          <w:sz w:val="22"/>
          <w:szCs w:val="22"/>
          <w:u w:val="single"/>
        </w:rPr>
        <w:t>Efavirenz, nevirapin, rifampicin, rifabutin és rifapentin</w:t>
      </w:r>
    </w:p>
    <w:p w14:paraId="76C944E1" w14:textId="77777777" w:rsidR="002A3AC9" w:rsidRDefault="00EC5E4D">
      <w:pPr>
        <w:pStyle w:val="lfej"/>
        <w:rPr>
          <w:sz w:val="22"/>
          <w:szCs w:val="22"/>
        </w:rPr>
      </w:pPr>
      <w:r>
        <w:rPr>
          <w:sz w:val="22"/>
          <w:szCs w:val="22"/>
        </w:rPr>
        <w:t>A citokróm P450 metabolizáló rendszer erős induktorai, úgymint az efavirenz, nevirapin, rifampicin, rifabutin és a rifapentin felgyorsíthatják a klaritromicin metabolizmusát, és így csökkenthetik a klaritromicin plazmaszintjét, miközben növelik a mikrobiológiailag szintén aktív metabolitét, a 14</w:t>
      </w:r>
      <w:r>
        <w:rPr>
          <w:sz w:val="22"/>
          <w:szCs w:val="22"/>
        </w:rPr>
        <w:noBreakHyphen/>
        <w:t>OH</w:t>
      </w:r>
      <w:r>
        <w:rPr>
          <w:sz w:val="22"/>
          <w:szCs w:val="22"/>
        </w:rPr>
        <w:noBreakHyphen/>
        <w:t>klaritromicinét. Mivel a klaritromicin és a 14</w:t>
      </w:r>
      <w:r>
        <w:rPr>
          <w:sz w:val="22"/>
          <w:szCs w:val="22"/>
        </w:rPr>
        <w:noBreakHyphen/>
        <w:t>OH-klaritromicin mikrobiológiai aktivitása a különböző baktériumok esetén eltérő, a tervezett terápiás hatás a klaritromicin és az enziminduktorok együttes alkalmazása esetén csökkenhet.</w:t>
      </w:r>
    </w:p>
    <w:p w14:paraId="22646460" w14:textId="77777777" w:rsidR="002A3AC9" w:rsidRDefault="002A3AC9">
      <w:pPr>
        <w:pStyle w:val="lfej"/>
        <w:rPr>
          <w:sz w:val="22"/>
          <w:szCs w:val="22"/>
        </w:rPr>
      </w:pPr>
    </w:p>
    <w:p w14:paraId="006B7B70" w14:textId="77777777" w:rsidR="002A3AC9" w:rsidRDefault="00EC5E4D">
      <w:pPr>
        <w:rPr>
          <w:sz w:val="22"/>
          <w:szCs w:val="22"/>
          <w:u w:val="single"/>
        </w:rPr>
      </w:pPr>
      <w:r>
        <w:rPr>
          <w:sz w:val="22"/>
          <w:szCs w:val="22"/>
          <w:u w:val="single"/>
        </w:rPr>
        <w:t>Etravirin</w:t>
      </w:r>
    </w:p>
    <w:p w14:paraId="366B32E2" w14:textId="77777777" w:rsidR="002A3AC9" w:rsidRDefault="00EC5E4D">
      <w:pPr>
        <w:rPr>
          <w:sz w:val="22"/>
          <w:szCs w:val="22"/>
        </w:rPr>
      </w:pPr>
      <w:r>
        <w:rPr>
          <w:sz w:val="22"/>
          <w:szCs w:val="22"/>
        </w:rPr>
        <w:lastRenderedPageBreak/>
        <w:t xml:space="preserve">Az etravirin csökkentette a klaritromicin aktivitását, azonban a 14-OH-klaritromicin aktív metabolit koncentrációja emelkedett. Mivel a 14-OH-klaritromicin csökkent aktivitással rendelkezik a </w:t>
      </w:r>
      <w:r>
        <w:rPr>
          <w:i/>
          <w:iCs/>
          <w:sz w:val="22"/>
          <w:szCs w:val="22"/>
        </w:rPr>
        <w:t>Mycobacterium avium</w:t>
      </w:r>
      <w:r>
        <w:rPr>
          <w:sz w:val="22"/>
          <w:szCs w:val="22"/>
        </w:rPr>
        <w:t xml:space="preserve"> komplex (MAC) ellen, az ezen kórokozóval szembeni teljes aktivitás változhat. Ezért a MAC kezelésére mérlegelni kell a klaritromicin helyettesítési lehetőségét.</w:t>
      </w:r>
    </w:p>
    <w:p w14:paraId="498BCE9C" w14:textId="77777777" w:rsidR="002A3AC9" w:rsidRDefault="002A3AC9">
      <w:pPr>
        <w:rPr>
          <w:sz w:val="22"/>
          <w:szCs w:val="22"/>
        </w:rPr>
      </w:pPr>
    </w:p>
    <w:p w14:paraId="1382190E" w14:textId="77777777" w:rsidR="002A3AC9" w:rsidRDefault="00EC5E4D">
      <w:pPr>
        <w:pStyle w:val="lfej"/>
        <w:keepNext/>
        <w:rPr>
          <w:sz w:val="22"/>
          <w:szCs w:val="22"/>
          <w:u w:val="single"/>
        </w:rPr>
      </w:pPr>
      <w:r>
        <w:rPr>
          <w:sz w:val="22"/>
          <w:szCs w:val="22"/>
          <w:u w:val="single"/>
        </w:rPr>
        <w:t>Flukonazol</w:t>
      </w:r>
    </w:p>
    <w:p w14:paraId="0107F486" w14:textId="77777777" w:rsidR="002A3AC9" w:rsidRDefault="00EC5E4D">
      <w:pPr>
        <w:pStyle w:val="lfej"/>
        <w:keepNext/>
        <w:rPr>
          <w:sz w:val="22"/>
          <w:szCs w:val="22"/>
        </w:rPr>
      </w:pPr>
      <w:r>
        <w:rPr>
          <w:sz w:val="22"/>
          <w:szCs w:val="22"/>
        </w:rPr>
        <w:t>Napi 200 mg flukonazol és naponta kétszer 500 mg klaritromicin egyidejű adása 21 egészséges önkéntesnél az átlagos egyensúlyi minimális klaritromicin-koncentráció (C</w:t>
      </w:r>
      <w:r>
        <w:rPr>
          <w:sz w:val="22"/>
          <w:szCs w:val="22"/>
          <w:vertAlign w:val="subscript"/>
        </w:rPr>
        <w:t>min</w:t>
      </w:r>
      <w:r>
        <w:rPr>
          <w:sz w:val="22"/>
          <w:szCs w:val="22"/>
        </w:rPr>
        <w:t>) 33%-os és a görbe alatti terület (AUC) 18%-os növekedéséhez vezetett. Az aktív metabolit, a</w:t>
      </w:r>
      <w:r>
        <w:rPr>
          <w:bCs/>
          <w:sz w:val="22"/>
          <w:szCs w:val="22"/>
        </w:rPr>
        <w:t xml:space="preserve"> 14</w:t>
      </w:r>
      <w:r>
        <w:rPr>
          <w:bCs/>
          <w:sz w:val="22"/>
          <w:szCs w:val="22"/>
        </w:rPr>
        <w:noBreakHyphen/>
        <w:t>OH-</w:t>
      </w:r>
      <w:r>
        <w:rPr>
          <w:sz w:val="22"/>
          <w:szCs w:val="22"/>
        </w:rPr>
        <w:t>klaritromicin egyensúlyi koncentrációit a flukonazol egyidejű alkalmazása nem befolyásolta jelentősen. A klaritromicin dózisának módosítása nem szükséges.</w:t>
      </w:r>
    </w:p>
    <w:p w14:paraId="293C6244" w14:textId="77777777" w:rsidR="002A3AC9" w:rsidRDefault="002A3AC9">
      <w:pPr>
        <w:pStyle w:val="lfej"/>
        <w:rPr>
          <w:sz w:val="22"/>
          <w:szCs w:val="22"/>
        </w:rPr>
      </w:pPr>
    </w:p>
    <w:p w14:paraId="0C929D47" w14:textId="77777777" w:rsidR="002A3AC9" w:rsidRDefault="00EC5E4D">
      <w:pPr>
        <w:tabs>
          <w:tab w:val="left" w:pos="4943"/>
        </w:tabs>
        <w:rPr>
          <w:sz w:val="22"/>
          <w:szCs w:val="22"/>
          <w:u w:val="single"/>
        </w:rPr>
      </w:pPr>
      <w:r>
        <w:rPr>
          <w:sz w:val="22"/>
          <w:szCs w:val="22"/>
          <w:u w:val="single"/>
        </w:rPr>
        <w:t>Ritonavir</w:t>
      </w:r>
    </w:p>
    <w:p w14:paraId="6FA87236" w14:textId="77777777" w:rsidR="002A3AC9" w:rsidRDefault="00EC5E4D">
      <w:pPr>
        <w:tabs>
          <w:tab w:val="left" w:pos="4943"/>
        </w:tabs>
        <w:rPr>
          <w:sz w:val="22"/>
          <w:szCs w:val="22"/>
        </w:rPr>
      </w:pPr>
      <w:r>
        <w:rPr>
          <w:sz w:val="22"/>
          <w:szCs w:val="22"/>
        </w:rPr>
        <w:t>Egy farmakokinetikai vizsgálatban, klaritromicin (12 óránként 500 mg) és ritonavir (8 óránként 200 mg) együttadása során a klaritromicin metabolizmusának jelentős gátlását mutatták ki. A ritonavirral való kombináció során a klaritromicin C</w:t>
      </w:r>
      <w:r>
        <w:rPr>
          <w:sz w:val="22"/>
          <w:szCs w:val="22"/>
          <w:vertAlign w:val="subscript"/>
        </w:rPr>
        <w:t>max</w:t>
      </w:r>
      <w:r>
        <w:rPr>
          <w:sz w:val="22"/>
          <w:szCs w:val="22"/>
        </w:rPr>
        <w:t xml:space="preserve"> értéke 31%-kal, C</w:t>
      </w:r>
      <w:r>
        <w:rPr>
          <w:sz w:val="22"/>
          <w:szCs w:val="22"/>
          <w:vertAlign w:val="subscript"/>
        </w:rPr>
        <w:t>min</w:t>
      </w:r>
      <w:r>
        <w:rPr>
          <w:sz w:val="22"/>
          <w:szCs w:val="22"/>
        </w:rPr>
        <w:t xml:space="preserve"> értéke 182%-kal, AUC pedig 77%-kal emelkedett. A 14-OH-klaritromicin teljes gátlását észlelték. A klaritromicin széles terápiás ablaka következtében a normális veseműködésű betegeknél nem szükséges az adag csökkentése. Azonban vesekárosodásban szenvedő betegek esetében a következő dózismódosításokat kell figyelembe venni: azoknál a betegeknél, akiknek kreatinin-clearance-e 30 és 60 ml/perc között van, a klaritromicin mennyiségét a felére kell csökkenteni. 30 ml/perc alatti kreatinin-clearance-szel rendelkező betegek esetén a klaritromicin mennyiségét 75%-kal kell csökkenteni. Ritonavir alkalmazásával egyidőben 1000 mg napi dózisnál nagyobb mennyiségű klaritromicin nem alkalmazható.</w:t>
      </w:r>
    </w:p>
    <w:p w14:paraId="2C3279C4" w14:textId="77777777" w:rsidR="002A3AC9" w:rsidRDefault="002A3AC9">
      <w:pPr>
        <w:tabs>
          <w:tab w:val="left" w:pos="4943"/>
        </w:tabs>
        <w:rPr>
          <w:sz w:val="22"/>
          <w:szCs w:val="22"/>
        </w:rPr>
      </w:pPr>
    </w:p>
    <w:p w14:paraId="277624E7" w14:textId="77777777" w:rsidR="002A3AC9" w:rsidRDefault="00EC5E4D">
      <w:pPr>
        <w:pStyle w:val="lfej"/>
        <w:rPr>
          <w:sz w:val="22"/>
          <w:szCs w:val="22"/>
        </w:rPr>
      </w:pPr>
      <w:r>
        <w:rPr>
          <w:sz w:val="22"/>
          <w:szCs w:val="22"/>
        </w:rPr>
        <w:t>Hasonló dózismódosításokat kell megfontolni olyan, csökkent vesefunkciójú betegek esetében, ahol ritonavirt farmakokinetikai hatásfokozóként alkalmaznak más HIV-proteáz-gátlókkal, mint az atazanavirral és a szakvinavirral együtt (lásd alább, Kétirányú gyógyszerkölcsönhatások rész).</w:t>
      </w:r>
    </w:p>
    <w:p w14:paraId="7A727D71" w14:textId="77777777" w:rsidR="002A3AC9" w:rsidRDefault="002A3AC9">
      <w:pPr>
        <w:tabs>
          <w:tab w:val="left" w:pos="567"/>
        </w:tabs>
        <w:rPr>
          <w:sz w:val="22"/>
          <w:szCs w:val="22"/>
        </w:rPr>
      </w:pPr>
    </w:p>
    <w:p w14:paraId="15435BDA" w14:textId="77777777" w:rsidR="002A3AC9" w:rsidRDefault="00EC5E4D">
      <w:pPr>
        <w:pStyle w:val="lfej"/>
        <w:rPr>
          <w:b/>
          <w:sz w:val="22"/>
          <w:szCs w:val="22"/>
        </w:rPr>
      </w:pPr>
      <w:r>
        <w:rPr>
          <w:b/>
          <w:sz w:val="22"/>
          <w:szCs w:val="22"/>
        </w:rPr>
        <w:t>Klaritromicin hatása más gyógyszerekre</w:t>
      </w:r>
    </w:p>
    <w:p w14:paraId="54278127" w14:textId="77777777" w:rsidR="002A3AC9" w:rsidRDefault="002A3AC9">
      <w:pPr>
        <w:pStyle w:val="lfej"/>
        <w:rPr>
          <w:sz w:val="22"/>
          <w:szCs w:val="22"/>
        </w:rPr>
      </w:pPr>
    </w:p>
    <w:p w14:paraId="0A928F89" w14:textId="77777777" w:rsidR="002A3AC9" w:rsidRDefault="00EC5E4D">
      <w:pPr>
        <w:rPr>
          <w:sz w:val="22"/>
          <w:szCs w:val="22"/>
          <w:u w:val="single"/>
        </w:rPr>
      </w:pPr>
      <w:r>
        <w:rPr>
          <w:sz w:val="22"/>
          <w:szCs w:val="22"/>
          <w:u w:val="single"/>
        </w:rPr>
        <w:t>CYP3A-n alapuló kölcsönhatások</w:t>
      </w:r>
    </w:p>
    <w:p w14:paraId="3399307F" w14:textId="77777777" w:rsidR="002A3AC9" w:rsidRDefault="00EC5E4D">
      <w:pPr>
        <w:rPr>
          <w:sz w:val="22"/>
          <w:szCs w:val="22"/>
        </w:rPr>
      </w:pPr>
      <w:r>
        <w:rPr>
          <w:sz w:val="22"/>
          <w:szCs w:val="22"/>
        </w:rPr>
        <w:t>Az ismerten CYP3A-gátló klaritromicin és egy, elsődlegesen a CYP3A által metabolizált gyógyszer együttadása a gyógyszerkoncentrációk emelkedését okozhatja, ami az egyidejűleg alkalmazott gyógyszer terápiás- és mellékhatásainak fokozódásával vagy meghosszabbodásával járhat.</w:t>
      </w:r>
    </w:p>
    <w:p w14:paraId="16E634AE" w14:textId="77777777" w:rsidR="002A3AC9" w:rsidRDefault="002A3AC9">
      <w:pPr>
        <w:rPr>
          <w:sz w:val="22"/>
          <w:szCs w:val="22"/>
        </w:rPr>
      </w:pPr>
    </w:p>
    <w:p w14:paraId="187FC810" w14:textId="77777777" w:rsidR="002A3AC9" w:rsidRDefault="00EC5E4D">
      <w:pPr>
        <w:rPr>
          <w:sz w:val="22"/>
          <w:szCs w:val="22"/>
        </w:rPr>
      </w:pPr>
      <w:r>
        <w:rPr>
          <w:sz w:val="22"/>
          <w:szCs w:val="22"/>
        </w:rPr>
        <w:t>A klaritromicin ellenjavallt egyidejűleg CYP3A szubsztrátokat (asztemizol, ciszaprid, domperidon, pimozid, terfenadin) is alkalmazó betegek esetében, mivel az együttes alkalmazás megnöveli a QT</w:t>
      </w:r>
      <w:r>
        <w:rPr>
          <w:sz w:val="22"/>
          <w:szCs w:val="22"/>
        </w:rPr>
        <w:noBreakHyphen/>
        <w:t xml:space="preserve">intervallum megnyúlásának és egyes arrhythmiák (kamrai tachycardia, kamrai fibrilláció, </w:t>
      </w:r>
      <w:r>
        <w:rPr>
          <w:i/>
          <w:iCs/>
          <w:sz w:val="22"/>
          <w:szCs w:val="22"/>
        </w:rPr>
        <w:t>torsades de pointes</w:t>
      </w:r>
      <w:r>
        <w:rPr>
          <w:sz w:val="22"/>
          <w:szCs w:val="22"/>
        </w:rPr>
        <w:t>) kockázatát (lásd 4.3 és 4.4 pont).</w:t>
      </w:r>
    </w:p>
    <w:p w14:paraId="792AC0E9" w14:textId="77777777" w:rsidR="002A3AC9" w:rsidRDefault="002A3AC9">
      <w:pPr>
        <w:rPr>
          <w:sz w:val="22"/>
          <w:szCs w:val="22"/>
        </w:rPr>
      </w:pPr>
    </w:p>
    <w:p w14:paraId="7837A633" w14:textId="77777777" w:rsidR="002A3AC9" w:rsidRDefault="00EC5E4D">
      <w:pPr>
        <w:rPr>
          <w:sz w:val="22"/>
          <w:szCs w:val="22"/>
        </w:rPr>
      </w:pPr>
      <w:r>
        <w:rPr>
          <w:sz w:val="22"/>
          <w:szCs w:val="22"/>
        </w:rPr>
        <w:t>A klaritromicin együttes alkalmazása szintén ellenjavallt ergot-alkaloidokkal, orális midazolámmal, az elsősorban CYP3A4 által metabolizált HMG CoA-reduktáz inhibitorokkal (pl. lovasztatin, szimvasztatin), kolchicinnel, tikagrelorral, ivabradinnal és ranolazinnal (lásd 4.3 pont).</w:t>
      </w:r>
    </w:p>
    <w:p w14:paraId="09EFE09A" w14:textId="77777777" w:rsidR="002A3AC9" w:rsidRDefault="002A3AC9">
      <w:pPr>
        <w:rPr>
          <w:sz w:val="22"/>
          <w:szCs w:val="22"/>
        </w:rPr>
      </w:pPr>
    </w:p>
    <w:p w14:paraId="528820FA" w14:textId="77777777" w:rsidR="002A3AC9" w:rsidRDefault="00EC5E4D">
      <w:pPr>
        <w:rPr>
          <w:sz w:val="22"/>
          <w:szCs w:val="22"/>
        </w:rPr>
      </w:pPr>
      <w:r>
        <w:rPr>
          <w:sz w:val="22"/>
          <w:szCs w:val="22"/>
        </w:rPr>
        <w:t>A klaritromicin és a lomitapid együttes adása ellenjavallt a potenciálisan jelentős transzaminázszint-növelő kölcsönhatás miatt (lásd 4.3 pont).</w:t>
      </w:r>
    </w:p>
    <w:p w14:paraId="4B65F707" w14:textId="77777777" w:rsidR="002A3AC9" w:rsidRDefault="002A3AC9">
      <w:pPr>
        <w:rPr>
          <w:sz w:val="22"/>
          <w:szCs w:val="22"/>
        </w:rPr>
      </w:pPr>
    </w:p>
    <w:p w14:paraId="21C2AA13" w14:textId="77777777" w:rsidR="002A3AC9" w:rsidRDefault="00EC5E4D">
      <w:pPr>
        <w:rPr>
          <w:sz w:val="22"/>
          <w:szCs w:val="22"/>
        </w:rPr>
      </w:pPr>
      <w:r>
        <w:rPr>
          <w:sz w:val="22"/>
          <w:szCs w:val="22"/>
        </w:rPr>
        <w:t xml:space="preserve">A klaritromicint óvatosan kell alkalmazni a CYP3A enzim szubsztrátjait tartalmazó egyéb gyógyszerekkel egyidejűleg, különösen, ha a CYP3A szubsztrátnak szűk a biztonságossági tartománya (pl. karbamazepin), illetve a szubsztrátot főként ez az enzim metabolizálja. Dózismódosítást kell mérlegelni, és ha lehetséges, az elsődlegesen a CYP3A által metabolizált gyógyszerek szérumkoncentráicióit szorosan monitorozni kell az egyidejűleg klaritromicint is alkalmazó betegeknél. Az alábbi gyógyszerek ill. gyógyszercsoportok esetében ismert vagy gyanítható, hogy az azonos CYP3A izoenzimen metabolizálódnak (a lista nem teljes): alprazolám, karbamezapin, cilosztazol, ciklosporin, dizopiramid, ibrutinib, metilprednizolon, midazolám </w:t>
      </w:r>
      <w:r w:rsidRPr="00AC474F">
        <w:rPr>
          <w:i/>
          <w:iCs/>
          <w:sz w:val="22"/>
          <w:szCs w:val="22"/>
        </w:rPr>
        <w:t>(iv.),</w:t>
      </w:r>
      <w:r>
        <w:rPr>
          <w:sz w:val="22"/>
          <w:szCs w:val="22"/>
        </w:rPr>
        <w:t xml:space="preserve"> omeprazol, orális </w:t>
      </w:r>
      <w:r>
        <w:rPr>
          <w:sz w:val="22"/>
          <w:szCs w:val="22"/>
        </w:rPr>
        <w:lastRenderedPageBreak/>
        <w:t>antikoagulánsok (pl. warfarin, rivaroxabán, apixabán), atípusos antipszichotikumok (pl. kvetiapin), kvinidin, rifabutin, szildenafil, szirolimusz, takrolimusz, triazolám és vinblasztin.</w:t>
      </w:r>
    </w:p>
    <w:p w14:paraId="44036F46" w14:textId="77777777" w:rsidR="002A3AC9" w:rsidRDefault="002A3AC9">
      <w:pPr>
        <w:tabs>
          <w:tab w:val="left" w:pos="4943"/>
        </w:tabs>
        <w:rPr>
          <w:noProof/>
          <w:sz w:val="22"/>
          <w:szCs w:val="22"/>
        </w:rPr>
      </w:pPr>
    </w:p>
    <w:p w14:paraId="52D09823" w14:textId="77777777" w:rsidR="002A3AC9" w:rsidRDefault="00EC5E4D">
      <w:pPr>
        <w:tabs>
          <w:tab w:val="left" w:pos="4943"/>
        </w:tabs>
        <w:rPr>
          <w:sz w:val="22"/>
          <w:szCs w:val="22"/>
        </w:rPr>
      </w:pPr>
      <w:r>
        <w:rPr>
          <w:noProof/>
          <w:sz w:val="22"/>
          <w:szCs w:val="22"/>
        </w:rPr>
        <w:t xml:space="preserve">A hasonló mechanizmusokkal, a CYP 450 enzimrendszer egyéb izoenzimjei részvételével kölcsönhatásba lépő gyógyszerek közé tartozik a </w:t>
      </w:r>
      <w:r>
        <w:rPr>
          <w:sz w:val="22"/>
          <w:szCs w:val="22"/>
        </w:rPr>
        <w:t>fenitoin, teofillin és valproát.</w:t>
      </w:r>
    </w:p>
    <w:p w14:paraId="27694A09" w14:textId="77777777" w:rsidR="002A3AC9" w:rsidRDefault="002A3AC9">
      <w:pPr>
        <w:tabs>
          <w:tab w:val="left" w:pos="4943"/>
        </w:tabs>
        <w:rPr>
          <w:sz w:val="22"/>
          <w:szCs w:val="22"/>
        </w:rPr>
      </w:pPr>
    </w:p>
    <w:p w14:paraId="0D4A1483" w14:textId="77777777" w:rsidR="002A3AC9" w:rsidRDefault="00EC5E4D">
      <w:pPr>
        <w:tabs>
          <w:tab w:val="left" w:pos="4943"/>
        </w:tabs>
        <w:rPr>
          <w:sz w:val="22"/>
          <w:szCs w:val="22"/>
          <w:u w:val="single"/>
        </w:rPr>
      </w:pPr>
      <w:r>
        <w:rPr>
          <w:sz w:val="22"/>
          <w:szCs w:val="22"/>
          <w:u w:val="single"/>
        </w:rPr>
        <w:t>Direkt hatású orális antikoagulánsok (DOAC-ok)</w:t>
      </w:r>
    </w:p>
    <w:p w14:paraId="6E01A5E0" w14:textId="77777777" w:rsidR="002A3AC9" w:rsidRDefault="00EC5E4D">
      <w:pPr>
        <w:tabs>
          <w:tab w:val="left" w:pos="4943"/>
        </w:tabs>
        <w:rPr>
          <w:sz w:val="22"/>
          <w:szCs w:val="22"/>
        </w:rPr>
      </w:pPr>
      <w:r>
        <w:rPr>
          <w:sz w:val="22"/>
          <w:szCs w:val="22"/>
        </w:rPr>
        <w:t>A dabigatrán és az edoxabán nevű DOAC a P-gp efflux transzporter szubsztrátja. A rivaroxabán és az apixabán a CYP3A4 enzimen keresztül metabolizálódik, és szintén szubsztrátjai a P-gp transzporternek. A klaritromicin ezekkel a szerekkel történő együttes adása óvatosságot igényel, különösen olyan betegeknél, akiknél fokozott a vérzés kockázata (lásd 4.4 pont).</w:t>
      </w:r>
    </w:p>
    <w:p w14:paraId="50457CBB" w14:textId="77777777" w:rsidR="002A3AC9" w:rsidRDefault="002A3AC9">
      <w:pPr>
        <w:tabs>
          <w:tab w:val="left" w:pos="4943"/>
        </w:tabs>
        <w:rPr>
          <w:sz w:val="22"/>
          <w:szCs w:val="22"/>
        </w:rPr>
      </w:pPr>
    </w:p>
    <w:p w14:paraId="14CF039A" w14:textId="77777777" w:rsidR="002A3AC9" w:rsidRDefault="00EC5E4D">
      <w:pPr>
        <w:keepNext/>
        <w:tabs>
          <w:tab w:val="left" w:pos="4943"/>
        </w:tabs>
        <w:rPr>
          <w:sz w:val="22"/>
          <w:szCs w:val="22"/>
          <w:u w:val="single"/>
        </w:rPr>
      </w:pPr>
      <w:r>
        <w:rPr>
          <w:sz w:val="22"/>
          <w:szCs w:val="22"/>
          <w:u w:val="single"/>
        </w:rPr>
        <w:t>Antiarrhythmiás szerek</w:t>
      </w:r>
    </w:p>
    <w:p w14:paraId="64C9F379" w14:textId="77777777" w:rsidR="002A3AC9" w:rsidRDefault="00EC5E4D">
      <w:pPr>
        <w:keepNext/>
        <w:tabs>
          <w:tab w:val="left" w:pos="4943"/>
        </w:tabs>
        <w:rPr>
          <w:sz w:val="22"/>
          <w:szCs w:val="22"/>
        </w:rPr>
      </w:pPr>
      <w:r>
        <w:rPr>
          <w:sz w:val="22"/>
          <w:szCs w:val="22"/>
        </w:rPr>
        <w:t xml:space="preserve">A forgalomba hozatalt követő megfigyelésekben a klaritromicin kinidinnel, illetve dizopiramiddal való együttes alkalmazásánál </w:t>
      </w:r>
      <w:r>
        <w:rPr>
          <w:i/>
          <w:sz w:val="22"/>
          <w:szCs w:val="22"/>
        </w:rPr>
        <w:t>torsade de pointes</w:t>
      </w:r>
      <w:r>
        <w:rPr>
          <w:sz w:val="22"/>
          <w:szCs w:val="22"/>
        </w:rPr>
        <w:t xml:space="preserve"> előfordulásáról számoltak be. A klaritromicin és ezen gyógyszerek együttadásakor EKG-n ellenőrizni kell a QT megnyúlását. Klaritromicin-terápia során a kinidin, illetve dizopiramid szérumszintjét monitorozni kell.</w:t>
      </w:r>
    </w:p>
    <w:p w14:paraId="328E6291" w14:textId="77777777" w:rsidR="002A3AC9" w:rsidRDefault="002A3AC9">
      <w:pPr>
        <w:tabs>
          <w:tab w:val="left" w:pos="4943"/>
        </w:tabs>
        <w:rPr>
          <w:sz w:val="22"/>
          <w:szCs w:val="22"/>
        </w:rPr>
      </w:pPr>
    </w:p>
    <w:p w14:paraId="1B6826F3" w14:textId="77777777" w:rsidR="002A3AC9" w:rsidRDefault="00EC5E4D">
      <w:pPr>
        <w:pStyle w:val="DefaultText"/>
        <w:rPr>
          <w:rFonts w:ascii="Times New Roman" w:hAnsi="Times New Roman"/>
          <w:szCs w:val="22"/>
          <w:lang w:val="hu-HU"/>
        </w:rPr>
      </w:pPr>
      <w:r>
        <w:rPr>
          <w:rFonts w:ascii="Times New Roman" w:hAnsi="Times New Roman"/>
          <w:szCs w:val="22"/>
          <w:lang w:val="hu-HU"/>
        </w:rPr>
        <w:t>A dizopiramid és a klaritromicin együttes alkalmazásakor hypoglykaemiáról számoltak be a forgalomba hozatalt követő jelentésekben. Ezért a klaritromicin és dizopiramid egyidejű szedésekor a vércukorszint monitorozása szükséges.</w:t>
      </w:r>
    </w:p>
    <w:p w14:paraId="05AAFCB1" w14:textId="77777777" w:rsidR="002A3AC9" w:rsidRDefault="002A3AC9">
      <w:pPr>
        <w:pStyle w:val="DefaultText"/>
        <w:rPr>
          <w:rFonts w:ascii="Times New Roman" w:hAnsi="Times New Roman"/>
          <w:szCs w:val="22"/>
          <w:lang w:val="hu-HU"/>
        </w:rPr>
      </w:pPr>
    </w:p>
    <w:p w14:paraId="0BACBF90" w14:textId="77777777" w:rsidR="002A3AC9" w:rsidRDefault="00EC5E4D">
      <w:pPr>
        <w:keepNext/>
        <w:rPr>
          <w:sz w:val="22"/>
          <w:szCs w:val="22"/>
          <w:u w:val="single"/>
        </w:rPr>
      </w:pPr>
      <w:r>
        <w:rPr>
          <w:sz w:val="22"/>
          <w:szCs w:val="22"/>
          <w:u w:val="single"/>
        </w:rPr>
        <w:t>Orális antidiabetikumok/inzulin</w:t>
      </w:r>
    </w:p>
    <w:p w14:paraId="7D3D9FB2" w14:textId="77777777" w:rsidR="002A3AC9" w:rsidRDefault="00EC5E4D">
      <w:pPr>
        <w:keepNext/>
        <w:rPr>
          <w:sz w:val="22"/>
          <w:szCs w:val="22"/>
        </w:rPr>
      </w:pPr>
      <w:r>
        <w:rPr>
          <w:sz w:val="22"/>
          <w:szCs w:val="22"/>
        </w:rPr>
        <w:t>Bizonyos vércukorszint-csökkentő gyógyszerek, mint például a nateglinid és a repaglinid esetében, a klaritromicin CYP3A enzim gátló hatása következtében kialakulhat hypoglykaemia a gyógyszerek együttadása esetében. A vércukorszint gondos ellenőrzése javasolt.</w:t>
      </w:r>
    </w:p>
    <w:p w14:paraId="40246C32" w14:textId="77777777" w:rsidR="002A3AC9" w:rsidRDefault="002A3AC9">
      <w:pPr>
        <w:tabs>
          <w:tab w:val="left" w:pos="4943"/>
        </w:tabs>
        <w:rPr>
          <w:sz w:val="22"/>
          <w:szCs w:val="22"/>
        </w:rPr>
      </w:pPr>
    </w:p>
    <w:p w14:paraId="50578FCE" w14:textId="77777777" w:rsidR="002A3AC9" w:rsidRDefault="00EC5E4D">
      <w:pPr>
        <w:rPr>
          <w:sz w:val="22"/>
          <w:szCs w:val="22"/>
          <w:u w:val="single"/>
        </w:rPr>
      </w:pPr>
      <w:r>
        <w:rPr>
          <w:sz w:val="22"/>
          <w:szCs w:val="22"/>
          <w:u w:val="single"/>
        </w:rPr>
        <w:t>Omeprazol</w:t>
      </w:r>
    </w:p>
    <w:p w14:paraId="4A34C347" w14:textId="77777777" w:rsidR="002A3AC9" w:rsidRDefault="00EC5E4D">
      <w:pPr>
        <w:rPr>
          <w:sz w:val="22"/>
          <w:szCs w:val="22"/>
        </w:rPr>
      </w:pPr>
      <w:r>
        <w:rPr>
          <w:sz w:val="22"/>
          <w:szCs w:val="22"/>
        </w:rPr>
        <w:t>A klaritromicint (8 óránként 500 mg) egészséges felnőtteknek kombinációban adták omeprazollal (napi 40 mg). Az omeprazol egyensúlyi plazmakoncentrációi a klaritromicin egyidejű alkalmazásával emelkedtek (C</w:t>
      </w:r>
      <w:r>
        <w:rPr>
          <w:sz w:val="22"/>
          <w:szCs w:val="22"/>
          <w:vertAlign w:val="subscript"/>
        </w:rPr>
        <w:t>max</w:t>
      </w:r>
      <w:r>
        <w:rPr>
          <w:sz w:val="22"/>
          <w:szCs w:val="22"/>
        </w:rPr>
        <w:t xml:space="preserve"> 30%-kal, AUC</w:t>
      </w:r>
      <w:r>
        <w:rPr>
          <w:sz w:val="22"/>
          <w:szCs w:val="22"/>
          <w:vertAlign w:val="subscript"/>
        </w:rPr>
        <w:t>0-24</w:t>
      </w:r>
      <w:r>
        <w:rPr>
          <w:sz w:val="22"/>
          <w:szCs w:val="22"/>
        </w:rPr>
        <w:t xml:space="preserve"> 89%-kal, t</w:t>
      </w:r>
      <w:r>
        <w:rPr>
          <w:sz w:val="22"/>
          <w:szCs w:val="22"/>
          <w:vertAlign w:val="subscript"/>
        </w:rPr>
        <w:t>1/2</w:t>
      </w:r>
      <w:r>
        <w:rPr>
          <w:sz w:val="22"/>
          <w:szCs w:val="22"/>
        </w:rPr>
        <w:t xml:space="preserve"> 34%-kal). Az átlagos 24 órás gyomor-pH 5,2 volt, ha az omeprazolt önmagában adták, és 5,7 volt, ha klaritromicinnel egyidejűleg alkalmazták.</w:t>
      </w:r>
    </w:p>
    <w:p w14:paraId="653454C8" w14:textId="77777777" w:rsidR="002A3AC9" w:rsidRDefault="002A3AC9">
      <w:pPr>
        <w:rPr>
          <w:sz w:val="22"/>
          <w:szCs w:val="22"/>
        </w:rPr>
      </w:pPr>
    </w:p>
    <w:p w14:paraId="23A55C44" w14:textId="77777777" w:rsidR="002A3AC9" w:rsidRDefault="00EC5E4D">
      <w:pPr>
        <w:rPr>
          <w:sz w:val="22"/>
          <w:szCs w:val="22"/>
          <w:u w:val="single"/>
        </w:rPr>
      </w:pPr>
      <w:r>
        <w:rPr>
          <w:sz w:val="22"/>
          <w:szCs w:val="22"/>
          <w:u w:val="single"/>
        </w:rPr>
        <w:t>Szildenafil, tadalafil és vardenafil</w:t>
      </w:r>
    </w:p>
    <w:p w14:paraId="19D16DDA" w14:textId="77777777" w:rsidR="002A3AC9" w:rsidRDefault="00EC5E4D">
      <w:pPr>
        <w:rPr>
          <w:sz w:val="22"/>
          <w:szCs w:val="22"/>
        </w:rPr>
      </w:pPr>
      <w:r>
        <w:rPr>
          <w:sz w:val="22"/>
          <w:szCs w:val="22"/>
        </w:rPr>
        <w:t>Ezeknek a foszfodiészteráz-inhibitoroknak mindegyikét – legalább részben – a CYP3A metabolizálja, és a CYP3A-t az egyidejűleg alkalmazott klaritromicin gátolhatja. A klaritromicin egyidejű alkalmazása szildenafillal, tadalafillal, illetve vardenafillal feltehetően a foszfodiészteráz</w:t>
      </w:r>
      <w:r>
        <w:rPr>
          <w:sz w:val="22"/>
          <w:szCs w:val="22"/>
        </w:rPr>
        <w:noBreakHyphen/>
        <w:t>inhibitor</w:t>
      </w:r>
      <w:r>
        <w:rPr>
          <w:sz w:val="22"/>
          <w:szCs w:val="22"/>
        </w:rPr>
        <w:noBreakHyphen/>
        <w:t>expozíció növekedését eredményezi.</w:t>
      </w:r>
    </w:p>
    <w:p w14:paraId="1270132C" w14:textId="77777777" w:rsidR="002A3AC9" w:rsidRDefault="00EC5E4D">
      <w:pPr>
        <w:rPr>
          <w:sz w:val="22"/>
          <w:szCs w:val="22"/>
        </w:rPr>
      </w:pPr>
      <w:r>
        <w:rPr>
          <w:sz w:val="22"/>
          <w:szCs w:val="22"/>
        </w:rPr>
        <w:t>Mérlegelni kell a szildenafil, tadalafil és vardenafil adagjának csökkentését, ha ezeket a gyógyszereket klaritromicinnel adják együtt.</w:t>
      </w:r>
    </w:p>
    <w:p w14:paraId="709C43B1" w14:textId="77777777" w:rsidR="002A3AC9" w:rsidRDefault="002A3AC9">
      <w:pPr>
        <w:rPr>
          <w:sz w:val="22"/>
          <w:szCs w:val="22"/>
        </w:rPr>
      </w:pPr>
    </w:p>
    <w:p w14:paraId="35DDCCCC" w14:textId="77777777" w:rsidR="002A3AC9" w:rsidRDefault="00EC5E4D">
      <w:pPr>
        <w:rPr>
          <w:sz w:val="22"/>
          <w:szCs w:val="22"/>
          <w:u w:val="single"/>
        </w:rPr>
      </w:pPr>
      <w:r>
        <w:rPr>
          <w:sz w:val="22"/>
          <w:szCs w:val="22"/>
          <w:u w:val="single"/>
        </w:rPr>
        <w:t>Teofillin, karbamazepin</w:t>
      </w:r>
    </w:p>
    <w:p w14:paraId="19066C61" w14:textId="77777777" w:rsidR="002A3AC9" w:rsidRDefault="00EC5E4D">
      <w:pPr>
        <w:rPr>
          <w:sz w:val="22"/>
          <w:szCs w:val="22"/>
        </w:rPr>
      </w:pPr>
      <w:r>
        <w:rPr>
          <w:sz w:val="22"/>
          <w:szCs w:val="22"/>
        </w:rPr>
        <w:t>Klinikai vizsgálatok eredményei alapján klaritromicin együttadása teofillinnel vagy karbamazepinnel, ezen gyógyszerek szérumszintjét mérsékelten, de statisztikailag szignifikáns mértékben (p ≤ 0,05) emeli. Dóziscsökkentés válhat szükségessé.</w:t>
      </w:r>
    </w:p>
    <w:p w14:paraId="2678768B" w14:textId="77777777" w:rsidR="002A3AC9" w:rsidRDefault="002A3AC9">
      <w:pPr>
        <w:rPr>
          <w:sz w:val="22"/>
          <w:szCs w:val="22"/>
        </w:rPr>
      </w:pPr>
    </w:p>
    <w:p w14:paraId="766879E6" w14:textId="77777777" w:rsidR="002A3AC9" w:rsidRDefault="00EC5E4D">
      <w:pPr>
        <w:rPr>
          <w:sz w:val="22"/>
          <w:szCs w:val="22"/>
          <w:u w:val="single"/>
        </w:rPr>
      </w:pPr>
      <w:r>
        <w:rPr>
          <w:sz w:val="22"/>
          <w:szCs w:val="22"/>
          <w:u w:val="single"/>
        </w:rPr>
        <w:t>Tolterodin</w:t>
      </w:r>
    </w:p>
    <w:p w14:paraId="211970BB" w14:textId="77777777" w:rsidR="002A3AC9" w:rsidRDefault="00EC5E4D">
      <w:pPr>
        <w:rPr>
          <w:sz w:val="22"/>
          <w:szCs w:val="22"/>
        </w:rPr>
      </w:pPr>
      <w:r>
        <w:rPr>
          <w:sz w:val="22"/>
          <w:szCs w:val="22"/>
        </w:rPr>
        <w:t>A tolterodin metabolizmusának elsődleges útvonala a citokróm P450 2D6 izoenzime (CYP2D6) útján történik. Azonban a CYP2D6-hiányos betegek alcsoportjában azonosított metabolikus útvonal a CYP3A-n keresztül zajlik. Ebben az alcsoportban a CYP3A gátlása lényegesen magasabb tolterodin szérumkoncentrációkat eredményez. A CYP3A-inhibitorok, mint például a klaritromicin jelenlétében a gyenge CYP2D6-metabolizáló populációban a tolterodin adagjának csökkentésére lehet szükség.</w:t>
      </w:r>
    </w:p>
    <w:p w14:paraId="6806794B" w14:textId="77777777" w:rsidR="002A3AC9" w:rsidRDefault="002A3AC9">
      <w:pPr>
        <w:rPr>
          <w:sz w:val="22"/>
          <w:szCs w:val="22"/>
        </w:rPr>
      </w:pPr>
    </w:p>
    <w:p w14:paraId="5B681766" w14:textId="77777777" w:rsidR="002A3AC9" w:rsidRDefault="00EC5E4D">
      <w:pPr>
        <w:rPr>
          <w:bCs/>
          <w:sz w:val="22"/>
          <w:szCs w:val="22"/>
          <w:u w:val="single"/>
        </w:rPr>
      </w:pPr>
      <w:r>
        <w:rPr>
          <w:bCs/>
          <w:sz w:val="22"/>
          <w:szCs w:val="22"/>
          <w:u w:val="single"/>
        </w:rPr>
        <w:t>Triazolo-benzodiazepinek (például alprazolám, midazolám, triazolám)</w:t>
      </w:r>
    </w:p>
    <w:p w14:paraId="43568623" w14:textId="77777777" w:rsidR="002A3AC9" w:rsidRDefault="00EC5E4D">
      <w:pPr>
        <w:rPr>
          <w:sz w:val="22"/>
          <w:szCs w:val="22"/>
        </w:rPr>
      </w:pPr>
      <w:r>
        <w:rPr>
          <w:bCs/>
          <w:sz w:val="22"/>
          <w:szCs w:val="22"/>
        </w:rPr>
        <w:t xml:space="preserve">Ha a midazolámot </w:t>
      </w:r>
      <w:r>
        <w:rPr>
          <w:sz w:val="22"/>
          <w:szCs w:val="22"/>
        </w:rPr>
        <w:t xml:space="preserve">klaritromicin filmtablettával (naponta kétszer 500 mg) adták egyidejűleg, akkor a </w:t>
      </w:r>
      <w:r>
        <w:rPr>
          <w:bCs/>
          <w:sz w:val="22"/>
          <w:szCs w:val="22"/>
        </w:rPr>
        <w:t xml:space="preserve">midazolám-AUC a midazolám intravénás adása után 2,7-szeresére, szájon át történő alkalmazást követően 7-szeresére nőtt. Az orális midazolám és a </w:t>
      </w:r>
      <w:r>
        <w:rPr>
          <w:sz w:val="22"/>
          <w:szCs w:val="22"/>
        </w:rPr>
        <w:t xml:space="preserve">klaritromicin egyidejű alkalmazását kerülni kell. </w:t>
      </w:r>
      <w:r>
        <w:rPr>
          <w:sz w:val="22"/>
          <w:szCs w:val="22"/>
        </w:rPr>
        <w:lastRenderedPageBreak/>
        <w:t>Ha az intravénás midazolámot adják egyidejűleg klaritromicinnel, akkor a beteget szorosan monitorozni kell, hogy lehetővé váljon a dózis módosítása.</w:t>
      </w:r>
    </w:p>
    <w:p w14:paraId="6964BDA3" w14:textId="77777777" w:rsidR="002A3AC9" w:rsidRDefault="00EC5E4D">
      <w:pPr>
        <w:rPr>
          <w:sz w:val="22"/>
          <w:szCs w:val="22"/>
        </w:rPr>
      </w:pPr>
      <w:r>
        <w:rPr>
          <w:sz w:val="22"/>
          <w:szCs w:val="22"/>
        </w:rPr>
        <w:t>Ugyanezeket az óvintézkedéseket kell alkalmazni más, a CYP3A által metabolizált benzodiazepinek, köztük a triazolám és az alprazolám esetén is. A CYP3A-tól független eliminációjú benzodiazepinek (temazepám, nitrazepám, lorazepám) esetén klinikailag fontos kölcsönhatás a klaritromicinnel nem valószínű.</w:t>
      </w:r>
    </w:p>
    <w:p w14:paraId="58CBF6A5" w14:textId="77777777" w:rsidR="002A3AC9" w:rsidRDefault="002A3AC9">
      <w:pPr>
        <w:rPr>
          <w:sz w:val="22"/>
          <w:szCs w:val="22"/>
        </w:rPr>
      </w:pPr>
    </w:p>
    <w:p w14:paraId="23C20F61" w14:textId="77777777" w:rsidR="002A3AC9" w:rsidRDefault="00EC5E4D">
      <w:pPr>
        <w:tabs>
          <w:tab w:val="left" w:pos="567"/>
        </w:tabs>
        <w:rPr>
          <w:sz w:val="22"/>
          <w:szCs w:val="22"/>
        </w:rPr>
      </w:pPr>
      <w:r>
        <w:rPr>
          <w:sz w:val="22"/>
          <w:szCs w:val="22"/>
        </w:rPr>
        <w:t>A klaritromicin és a triazolám egyidejű alkalmazásával kapcsolatban vannak a forgalomba hozatalt követő gyógyszerkölcsönhatásról és központi idegrendszeri hatásokról (például aluszékonyság és zavartság) szóló jelentések. A betegeknél a központi idegrendszeri farmakológiai hatások növekedésének ellenőrzése javasolt.</w:t>
      </w:r>
    </w:p>
    <w:p w14:paraId="66D4C43E" w14:textId="77777777" w:rsidR="002A3AC9" w:rsidRDefault="002A3AC9">
      <w:pPr>
        <w:tabs>
          <w:tab w:val="left" w:pos="567"/>
        </w:tabs>
        <w:rPr>
          <w:sz w:val="22"/>
          <w:szCs w:val="22"/>
        </w:rPr>
      </w:pPr>
    </w:p>
    <w:p w14:paraId="0B796DB8" w14:textId="77777777" w:rsidR="002A3AC9" w:rsidRDefault="00EC5E4D">
      <w:pPr>
        <w:rPr>
          <w:sz w:val="22"/>
          <w:szCs w:val="22"/>
          <w:u w:val="single"/>
        </w:rPr>
      </w:pPr>
      <w:r>
        <w:rPr>
          <w:sz w:val="22"/>
          <w:szCs w:val="22"/>
          <w:u w:val="single"/>
        </w:rPr>
        <w:t>Kortikoszteroidok</w:t>
      </w:r>
    </w:p>
    <w:p w14:paraId="4C72F499" w14:textId="77777777" w:rsidR="002A3AC9" w:rsidRDefault="00EC5E4D">
      <w:pPr>
        <w:tabs>
          <w:tab w:val="left" w:pos="567"/>
        </w:tabs>
        <w:rPr>
          <w:sz w:val="22"/>
          <w:szCs w:val="22"/>
        </w:rPr>
      </w:pPr>
      <w:r>
        <w:rPr>
          <w:sz w:val="22"/>
          <w:szCs w:val="22"/>
        </w:rPr>
        <w:t>Kellő körültekintéssel kell eljárni a klaritromicin és az – elsősorban a CYP3A enzimek által metabolizált – szisztémás vagy inhalációs kortikoszteroidok egyidejű alkalmazása esetén, mert ez a kortikoszteroidok fokozott szisztémás expozícióját okozhatja. Egyidejű alkalmazás esetén a szisztémás kortikoszteroidok nemkívánatos hatásainak szoros monitorozása szükséges.</w:t>
      </w:r>
    </w:p>
    <w:p w14:paraId="711E79BB" w14:textId="77777777" w:rsidR="002A3AC9" w:rsidRDefault="002A3AC9">
      <w:pPr>
        <w:tabs>
          <w:tab w:val="left" w:pos="567"/>
        </w:tabs>
        <w:rPr>
          <w:sz w:val="22"/>
          <w:szCs w:val="22"/>
        </w:rPr>
      </w:pPr>
    </w:p>
    <w:p w14:paraId="3930E735" w14:textId="77777777" w:rsidR="002A3AC9" w:rsidRDefault="00EC5E4D">
      <w:pPr>
        <w:keepNext/>
        <w:tabs>
          <w:tab w:val="left" w:pos="567"/>
        </w:tabs>
        <w:rPr>
          <w:b/>
          <w:sz w:val="22"/>
          <w:szCs w:val="22"/>
        </w:rPr>
      </w:pPr>
      <w:r>
        <w:rPr>
          <w:b/>
          <w:sz w:val="22"/>
          <w:szCs w:val="22"/>
        </w:rPr>
        <w:t>Egyéb gyógyszerkölcsönhatások</w:t>
      </w:r>
    </w:p>
    <w:p w14:paraId="2422A1DD" w14:textId="77777777" w:rsidR="002A3AC9" w:rsidRDefault="002A3AC9">
      <w:pPr>
        <w:keepNext/>
        <w:tabs>
          <w:tab w:val="left" w:pos="567"/>
        </w:tabs>
        <w:rPr>
          <w:sz w:val="22"/>
          <w:szCs w:val="22"/>
        </w:rPr>
      </w:pPr>
    </w:p>
    <w:p w14:paraId="5FA86B4F" w14:textId="77777777" w:rsidR="002A3AC9" w:rsidRDefault="00EC5E4D">
      <w:pPr>
        <w:keepNext/>
        <w:rPr>
          <w:sz w:val="22"/>
          <w:szCs w:val="22"/>
          <w:u w:val="single"/>
        </w:rPr>
      </w:pPr>
      <w:r>
        <w:rPr>
          <w:sz w:val="22"/>
          <w:szCs w:val="22"/>
          <w:u w:val="single"/>
        </w:rPr>
        <w:t>Aminoglikozidok</w:t>
      </w:r>
    </w:p>
    <w:p w14:paraId="5B298F3D" w14:textId="77777777" w:rsidR="002A3AC9" w:rsidRDefault="00EC5E4D">
      <w:pPr>
        <w:tabs>
          <w:tab w:val="left" w:pos="567"/>
        </w:tabs>
        <w:rPr>
          <w:sz w:val="22"/>
          <w:szCs w:val="22"/>
        </w:rPr>
      </w:pPr>
      <w:r>
        <w:rPr>
          <w:sz w:val="22"/>
          <w:szCs w:val="22"/>
        </w:rPr>
        <w:t>Óvatosság szükséges klaritromicin és más ototoxikus gyógyszerek, különösen aminoglikozidok együttadásakor (lásd 4.4 pont).</w:t>
      </w:r>
    </w:p>
    <w:p w14:paraId="6468F352" w14:textId="77777777" w:rsidR="002A3AC9" w:rsidRDefault="002A3AC9">
      <w:pPr>
        <w:tabs>
          <w:tab w:val="left" w:pos="567"/>
        </w:tabs>
        <w:rPr>
          <w:sz w:val="22"/>
          <w:szCs w:val="22"/>
        </w:rPr>
      </w:pPr>
    </w:p>
    <w:p w14:paraId="294B7AAA" w14:textId="77777777" w:rsidR="002A3AC9" w:rsidRDefault="00EC5E4D">
      <w:pPr>
        <w:tabs>
          <w:tab w:val="left" w:pos="567"/>
        </w:tabs>
        <w:rPr>
          <w:sz w:val="22"/>
          <w:szCs w:val="22"/>
          <w:u w:val="single"/>
        </w:rPr>
      </w:pPr>
      <w:r>
        <w:rPr>
          <w:sz w:val="22"/>
          <w:szCs w:val="22"/>
          <w:u w:val="single"/>
        </w:rPr>
        <w:t>Kolchicin</w:t>
      </w:r>
    </w:p>
    <w:p w14:paraId="4FAD987C" w14:textId="2562344C" w:rsidR="002A3AC9" w:rsidRDefault="00EC5E4D">
      <w:pPr>
        <w:tabs>
          <w:tab w:val="left" w:pos="850"/>
        </w:tabs>
        <w:rPr>
          <w:sz w:val="22"/>
          <w:szCs w:val="22"/>
        </w:rPr>
      </w:pPr>
      <w:r>
        <w:rPr>
          <w:sz w:val="22"/>
          <w:szCs w:val="22"/>
        </w:rPr>
        <w:t>A kolchicin mind a CYP3A, mind az efflux-transzporter P-glikoprotein (</w:t>
      </w:r>
      <w:r w:rsidR="00B260EE">
        <w:rPr>
          <w:sz w:val="22"/>
          <w:szCs w:val="22"/>
        </w:rPr>
        <w:t>P-gp</w:t>
      </w:r>
      <w:r>
        <w:rPr>
          <w:sz w:val="22"/>
          <w:szCs w:val="22"/>
        </w:rPr>
        <w:t xml:space="preserve">) szubsztrátja. Ismert, hogy a klaritromicin és más makrolid antibiotikumok gátolják a CYP3A-t és a P-glikoproteint. A klaritromicin és a kolchicin együttes adásakor a klaritromicin </w:t>
      </w:r>
      <w:r w:rsidR="00B260EE">
        <w:rPr>
          <w:sz w:val="22"/>
          <w:szCs w:val="22"/>
        </w:rPr>
        <w:t>P-gp</w:t>
      </w:r>
      <w:r>
        <w:rPr>
          <w:sz w:val="22"/>
          <w:szCs w:val="22"/>
        </w:rPr>
        <w:t xml:space="preserve"> és/vagy CYP3A gátlása révén megnövelheti a kolchicin expozícióját (lásd 4.3 és 4.4 pont).</w:t>
      </w:r>
    </w:p>
    <w:p w14:paraId="51BFA6E3" w14:textId="77777777" w:rsidR="002A3AC9" w:rsidRDefault="002A3AC9">
      <w:pPr>
        <w:tabs>
          <w:tab w:val="left" w:pos="850"/>
        </w:tabs>
        <w:rPr>
          <w:sz w:val="22"/>
          <w:szCs w:val="22"/>
        </w:rPr>
      </w:pPr>
    </w:p>
    <w:p w14:paraId="40722423" w14:textId="77777777" w:rsidR="002A3AC9" w:rsidRDefault="00EC5E4D">
      <w:pPr>
        <w:rPr>
          <w:sz w:val="22"/>
          <w:szCs w:val="22"/>
          <w:u w:val="single"/>
        </w:rPr>
      </w:pPr>
      <w:r>
        <w:rPr>
          <w:sz w:val="22"/>
          <w:szCs w:val="22"/>
          <w:u w:val="single"/>
        </w:rPr>
        <w:t>Digoxin</w:t>
      </w:r>
    </w:p>
    <w:p w14:paraId="75E12C1A" w14:textId="0CA174EC" w:rsidR="002A3AC9" w:rsidRDefault="00EC5E4D">
      <w:pPr>
        <w:tabs>
          <w:tab w:val="left" w:pos="850"/>
        </w:tabs>
        <w:rPr>
          <w:sz w:val="22"/>
          <w:szCs w:val="22"/>
          <w:u w:val="single"/>
        </w:rPr>
      </w:pPr>
      <w:r>
        <w:rPr>
          <w:sz w:val="22"/>
          <w:szCs w:val="22"/>
        </w:rPr>
        <w:t>A digoxin vélhetően az efflux-transzporter P-glikoprotein (</w:t>
      </w:r>
      <w:r w:rsidR="00B260EE">
        <w:rPr>
          <w:sz w:val="22"/>
          <w:szCs w:val="22"/>
        </w:rPr>
        <w:t>P-gp</w:t>
      </w:r>
      <w:r>
        <w:rPr>
          <w:sz w:val="22"/>
          <w:szCs w:val="22"/>
        </w:rPr>
        <w:t xml:space="preserve">) szubsztrátja. A klaritromicinről ismert, hogy gátolja a </w:t>
      </w:r>
      <w:r w:rsidR="00B260EE">
        <w:rPr>
          <w:sz w:val="22"/>
          <w:szCs w:val="22"/>
        </w:rPr>
        <w:t>P-gp</w:t>
      </w:r>
      <w:r>
        <w:rPr>
          <w:sz w:val="22"/>
          <w:szCs w:val="22"/>
        </w:rPr>
        <w:t xml:space="preserve">-t. A klaritromicin és a digoxin együttes alkalmazásakor, a </w:t>
      </w:r>
      <w:r w:rsidR="00B260EE">
        <w:rPr>
          <w:sz w:val="22"/>
          <w:szCs w:val="22"/>
        </w:rPr>
        <w:t>P-gp</w:t>
      </w:r>
      <w:r>
        <w:rPr>
          <w:sz w:val="22"/>
          <w:szCs w:val="22"/>
        </w:rPr>
        <w:t xml:space="preserve"> klaritromicin által előidézett gátlása a digoxin-expozíció emelkedéséhez vezethet. Egyidejű klaritromicin- és digoxin-kezelésben részesülő betegeknél a forgalomba hozatalt követő ellenőrzés során is beszámoltak a digoxin szérumkoncentrációk emelkedéséről. Néhány beteg a digoxin-mérgezéssel azonos klinikai tüneteket, köztük potenciálisan fatális arrhythmiákat mutatott. A szérum digoxin-koncentrációkat gondosan ellenőrizni kell, amíg a beteg egyidejűleg kap digoxint és klaritromicint.</w:t>
      </w:r>
    </w:p>
    <w:p w14:paraId="5A65D608" w14:textId="77777777" w:rsidR="002A3AC9" w:rsidRDefault="002A3AC9">
      <w:pPr>
        <w:tabs>
          <w:tab w:val="left" w:pos="850"/>
        </w:tabs>
        <w:rPr>
          <w:sz w:val="22"/>
          <w:szCs w:val="22"/>
        </w:rPr>
      </w:pPr>
    </w:p>
    <w:p w14:paraId="0FD0E306" w14:textId="77777777" w:rsidR="002A3AC9" w:rsidRDefault="00EC5E4D">
      <w:pPr>
        <w:rPr>
          <w:sz w:val="22"/>
          <w:szCs w:val="22"/>
          <w:u w:val="single"/>
        </w:rPr>
      </w:pPr>
      <w:r>
        <w:rPr>
          <w:sz w:val="22"/>
          <w:szCs w:val="22"/>
          <w:u w:val="single"/>
        </w:rPr>
        <w:t>Zidovudin</w:t>
      </w:r>
    </w:p>
    <w:p w14:paraId="5BA22928" w14:textId="77777777" w:rsidR="002A3AC9" w:rsidRDefault="00EC5E4D">
      <w:pPr>
        <w:tabs>
          <w:tab w:val="left" w:pos="850"/>
        </w:tabs>
        <w:rPr>
          <w:sz w:val="22"/>
          <w:szCs w:val="22"/>
          <w:u w:val="single"/>
        </w:rPr>
      </w:pPr>
      <w:r>
        <w:rPr>
          <w:sz w:val="22"/>
          <w:szCs w:val="22"/>
        </w:rPr>
        <w:t>Zidovudinnal kezelt, HIV-fertőzött felnőtteknél a klaritromicin tabletta egyidejű alkalmazása csökkentheti a zidovudin egyensúlyi</w:t>
      </w:r>
      <w:r>
        <w:rPr>
          <w:i/>
          <w:iCs/>
          <w:sz w:val="22"/>
          <w:szCs w:val="22"/>
        </w:rPr>
        <w:t xml:space="preserve"> </w:t>
      </w:r>
      <w:r>
        <w:rPr>
          <w:sz w:val="22"/>
          <w:szCs w:val="22"/>
        </w:rPr>
        <w:t>plazmakoncentrációját. Mivel a klaritromicin feltehetően befolyásolja az egyidejűleg szájon át adott zidovudin felszívódását, ez a kölcsönhatás javarészt kiküszöbölhető, ha a beteg 4 óra időeltéréssel veszi be a klaritromicint és a zidovudint. HIV-fertőzött gyermekeknél nem észleltek hasonló reakciót klaritromicin szuszpenzió és zidovudin vagy dideoxiinozin együttes adásakor. Klaritromicin intravénás alkalmazásakor ez a kölcsönhatás valószínűleg nem lép fel.</w:t>
      </w:r>
    </w:p>
    <w:p w14:paraId="7711C469" w14:textId="77777777" w:rsidR="002A3AC9" w:rsidRDefault="002A3AC9">
      <w:pPr>
        <w:tabs>
          <w:tab w:val="left" w:pos="850"/>
        </w:tabs>
        <w:rPr>
          <w:sz w:val="22"/>
          <w:szCs w:val="22"/>
        </w:rPr>
      </w:pPr>
    </w:p>
    <w:p w14:paraId="7FA8EB06" w14:textId="77777777" w:rsidR="002A3AC9" w:rsidRDefault="00EC5E4D">
      <w:pPr>
        <w:tabs>
          <w:tab w:val="left" w:pos="850"/>
        </w:tabs>
        <w:rPr>
          <w:sz w:val="22"/>
          <w:szCs w:val="22"/>
          <w:u w:val="single"/>
        </w:rPr>
      </w:pPr>
      <w:r>
        <w:rPr>
          <w:sz w:val="22"/>
          <w:szCs w:val="22"/>
          <w:u w:val="single"/>
        </w:rPr>
        <w:t>Fenitoin és valproát</w:t>
      </w:r>
    </w:p>
    <w:p w14:paraId="0E4D4130" w14:textId="77777777" w:rsidR="002A3AC9" w:rsidRDefault="00EC5E4D">
      <w:pPr>
        <w:tabs>
          <w:tab w:val="left" w:pos="850"/>
        </w:tabs>
        <w:rPr>
          <w:sz w:val="22"/>
          <w:szCs w:val="22"/>
        </w:rPr>
      </w:pPr>
      <w:r>
        <w:rPr>
          <w:sz w:val="22"/>
          <w:szCs w:val="22"/>
        </w:rPr>
        <w:t>A CYP3A-inhibitorok – ide tartozik a klaritromicin is – és a nem CYP3A által metabolizálódó szerek (mint fenitoin és valproát) közötti interakciókról készültek spontán vagy irodalmi jelentések. Ezen gyógyszerek szérumkoncentrációinak emelkedését jelentették, ezért klaritromicinnel való egyidejű alkalmazásukkor ezen gyógyszerek szérumszintjét meg kell határozni.</w:t>
      </w:r>
    </w:p>
    <w:p w14:paraId="44CA9997" w14:textId="77777777" w:rsidR="002A3AC9" w:rsidRDefault="002A3AC9">
      <w:pPr>
        <w:rPr>
          <w:sz w:val="22"/>
          <w:szCs w:val="22"/>
        </w:rPr>
      </w:pPr>
    </w:p>
    <w:p w14:paraId="2B7316D0" w14:textId="77777777" w:rsidR="002A3AC9" w:rsidRDefault="00EC5E4D">
      <w:pPr>
        <w:pStyle w:val="DefaultText"/>
        <w:keepNext/>
        <w:rPr>
          <w:rFonts w:ascii="Times New Roman" w:hAnsi="Times New Roman"/>
          <w:szCs w:val="22"/>
          <w:u w:val="single"/>
          <w:lang w:val="hu-HU"/>
        </w:rPr>
      </w:pPr>
      <w:r>
        <w:rPr>
          <w:rFonts w:ascii="Times New Roman" w:hAnsi="Times New Roman"/>
          <w:szCs w:val="22"/>
          <w:u w:val="single"/>
          <w:lang w:val="hu-HU"/>
        </w:rPr>
        <w:lastRenderedPageBreak/>
        <w:t>Hidroxiklorokin, klorokin</w:t>
      </w:r>
    </w:p>
    <w:p w14:paraId="793F050C" w14:textId="77777777" w:rsidR="002A3AC9" w:rsidRDefault="00EC5E4D">
      <w:pPr>
        <w:pStyle w:val="DefaultText"/>
        <w:keepNext/>
        <w:rPr>
          <w:rFonts w:ascii="Times New Roman" w:hAnsi="Times New Roman"/>
          <w:szCs w:val="22"/>
          <w:lang w:val="hu-HU"/>
        </w:rPr>
      </w:pPr>
      <w:r>
        <w:rPr>
          <w:rFonts w:ascii="Times New Roman" w:hAnsi="Times New Roman"/>
          <w:szCs w:val="22"/>
          <w:lang w:val="hu-HU"/>
        </w:rPr>
        <w:t>Ezen – ismerten QT-szakasz-megnyúlást okozó – hatóanyagok bármelyikével kezelt betegeknél a klaritromicint kellő körültekintéssel kell alkalmazni, mert fennáll a szívritmuszavar és a súlyos cardiovascularis mellékhatások kialakulásának lehetősége.</w:t>
      </w:r>
    </w:p>
    <w:p w14:paraId="01B19540" w14:textId="77777777" w:rsidR="002A3AC9" w:rsidRDefault="002A3AC9">
      <w:pPr>
        <w:rPr>
          <w:sz w:val="22"/>
          <w:szCs w:val="22"/>
        </w:rPr>
      </w:pPr>
    </w:p>
    <w:p w14:paraId="14B75D58" w14:textId="77777777" w:rsidR="002A3AC9" w:rsidRDefault="00EC5E4D">
      <w:pPr>
        <w:pStyle w:val="lfej"/>
        <w:rPr>
          <w:b/>
          <w:sz w:val="22"/>
          <w:szCs w:val="22"/>
        </w:rPr>
      </w:pPr>
      <w:r>
        <w:rPr>
          <w:b/>
          <w:sz w:val="22"/>
          <w:szCs w:val="22"/>
        </w:rPr>
        <w:t>Kétirányú gyógyszerkölcsönhatások</w:t>
      </w:r>
    </w:p>
    <w:p w14:paraId="5984A913" w14:textId="77777777" w:rsidR="002A3AC9" w:rsidRDefault="002A3AC9">
      <w:pPr>
        <w:pStyle w:val="lfej"/>
        <w:rPr>
          <w:sz w:val="22"/>
          <w:szCs w:val="22"/>
        </w:rPr>
      </w:pPr>
    </w:p>
    <w:p w14:paraId="51571FE8" w14:textId="77777777" w:rsidR="002A3AC9" w:rsidRDefault="00EC5E4D">
      <w:pPr>
        <w:pStyle w:val="lfej"/>
        <w:rPr>
          <w:sz w:val="22"/>
          <w:szCs w:val="22"/>
          <w:u w:val="single"/>
        </w:rPr>
      </w:pPr>
      <w:r>
        <w:rPr>
          <w:sz w:val="22"/>
          <w:szCs w:val="22"/>
          <w:u w:val="single"/>
        </w:rPr>
        <w:t>Atazanavir</w:t>
      </w:r>
    </w:p>
    <w:p w14:paraId="166FF79A" w14:textId="77777777" w:rsidR="002A3AC9" w:rsidRDefault="00EC5E4D">
      <w:pPr>
        <w:pStyle w:val="lfej"/>
        <w:rPr>
          <w:sz w:val="22"/>
          <w:szCs w:val="22"/>
        </w:rPr>
      </w:pPr>
      <w:r>
        <w:rPr>
          <w:sz w:val="22"/>
          <w:szCs w:val="22"/>
        </w:rPr>
        <w:t>Mind a klaritromicin, mind az atazanavir egyaránt szubsztrátja és inhibitora a CYP3A-nak, és bizonyíték van a bidirekcionális gyógyszerkölcsönhatásra. A klaritromicin (naponta kétszer 500 mg) és az atazanavir (naponta egyszer 400 mg) együttes alkalmazása az atazanavir AUC 28%-os emelkedése mellett a klaritromicin-expozíció kétszeres emelkedését és a 14-OH-klaritromicin expozíciójának a 70%-os csökkenését eredményezte. A klaritromicin széles terápiás ablaka következtében a normális veseműködésű betegeknél nem szükséges az adag csökkentése. Közepesen súlyos vesekárosodásban szenvedő betegeknél (kreatinin-clearance 30 - 60 ml/perc) a klaritromicin adagját 50%-kal csökkenteni kell. Azoknál a betegeknél, akiknek a kreatinin-clearance-e &lt; 30 ml/perc, a klaritromicin adagját megfelelő klaritromicin gyógyszerforma alkalmazásával 75%-kal kell csökkenteni. Napi 1000 mg-nál nagyobb klaritromicin dózisokat nem szabad egyidejűleg proteázgátlókkal alkalmazni.</w:t>
      </w:r>
    </w:p>
    <w:p w14:paraId="607A8D22" w14:textId="77777777" w:rsidR="002A3AC9" w:rsidRDefault="002A3AC9">
      <w:pPr>
        <w:rPr>
          <w:sz w:val="22"/>
          <w:szCs w:val="22"/>
        </w:rPr>
      </w:pPr>
    </w:p>
    <w:p w14:paraId="58854869" w14:textId="77777777" w:rsidR="002A3AC9" w:rsidRDefault="00EC5E4D">
      <w:pPr>
        <w:rPr>
          <w:sz w:val="22"/>
          <w:szCs w:val="22"/>
          <w:u w:val="single"/>
        </w:rPr>
      </w:pPr>
      <w:r>
        <w:rPr>
          <w:sz w:val="22"/>
          <w:szCs w:val="22"/>
          <w:u w:val="single"/>
        </w:rPr>
        <w:t>Kalciumcsatorna-blokkolók</w:t>
      </w:r>
    </w:p>
    <w:p w14:paraId="0C37D60A" w14:textId="77777777" w:rsidR="002A3AC9" w:rsidRDefault="00EC5E4D">
      <w:pPr>
        <w:rPr>
          <w:sz w:val="22"/>
          <w:szCs w:val="22"/>
        </w:rPr>
      </w:pPr>
      <w:r>
        <w:rPr>
          <w:sz w:val="22"/>
          <w:szCs w:val="22"/>
        </w:rPr>
        <w:t>A hypotonia kialakulásának kockázata miatt elővigyázatosság szükséges a klaritromicin és a CYP3A4 által metabolizált kalciumcsatorna-blokkolók (például verapamil, amlodipin, diltiazem) együttadása során. Az interakció következtében mind a klaritromicin, mind a kalciumcsatorna</w:t>
      </w:r>
      <w:r>
        <w:rPr>
          <w:sz w:val="22"/>
          <w:szCs w:val="22"/>
        </w:rPr>
        <w:noBreakHyphen/>
        <w:t>blokkoló plazmakoncentrációja megnőhet. Hypotoniát, bradyarrhythmiát és laktát</w:t>
      </w:r>
      <w:r>
        <w:rPr>
          <w:sz w:val="22"/>
          <w:szCs w:val="22"/>
        </w:rPr>
        <w:noBreakHyphen/>
        <w:t>acidózist figyeltek meg a klaritromicint verapamillal egyidejűleg szedő betegeknél.</w:t>
      </w:r>
    </w:p>
    <w:p w14:paraId="551AF4B4" w14:textId="77777777" w:rsidR="002A3AC9" w:rsidRDefault="002A3AC9">
      <w:pPr>
        <w:rPr>
          <w:sz w:val="22"/>
          <w:szCs w:val="22"/>
        </w:rPr>
      </w:pPr>
    </w:p>
    <w:p w14:paraId="062A8AA4" w14:textId="77777777" w:rsidR="002A3AC9" w:rsidRDefault="00EC5E4D">
      <w:pPr>
        <w:pStyle w:val="lfej"/>
        <w:keepNext/>
        <w:rPr>
          <w:sz w:val="22"/>
          <w:szCs w:val="22"/>
          <w:u w:val="single"/>
        </w:rPr>
      </w:pPr>
      <w:r>
        <w:rPr>
          <w:sz w:val="22"/>
          <w:szCs w:val="22"/>
          <w:u w:val="single"/>
        </w:rPr>
        <w:t>Itrakonazol</w:t>
      </w:r>
    </w:p>
    <w:p w14:paraId="2915629D" w14:textId="77777777" w:rsidR="002A3AC9" w:rsidRDefault="00EC5E4D">
      <w:pPr>
        <w:pStyle w:val="lfej"/>
        <w:keepNext/>
        <w:rPr>
          <w:sz w:val="22"/>
          <w:szCs w:val="22"/>
        </w:rPr>
      </w:pPr>
      <w:r>
        <w:rPr>
          <w:sz w:val="22"/>
          <w:szCs w:val="22"/>
        </w:rPr>
        <w:t>Mind a klaritromicin, mind az itrakonazol egyaránt szubsztrátja és inhibitora a CYP3A-nak, ami bidirekcionális gyógyszerkölcsönhatáshoz vezet. A klaritromicin emelheti az itrakonazol plazmaszintjét, miközben az itrakonazol is növelheti a klaritromicin plazmaszintjét. Az itrakonazolt és klaritromicint egyidejűleg szedő betegeknél gondosan ellenőrizni kell a fokozott vagy tartós farmakológiai hatásra utaló panaszokat vagy tüneteket.</w:t>
      </w:r>
    </w:p>
    <w:p w14:paraId="3474DAE1" w14:textId="77777777" w:rsidR="002A3AC9" w:rsidRDefault="002A3AC9">
      <w:pPr>
        <w:pStyle w:val="lfej"/>
        <w:rPr>
          <w:sz w:val="22"/>
          <w:szCs w:val="22"/>
        </w:rPr>
      </w:pPr>
    </w:p>
    <w:p w14:paraId="01FDCC46" w14:textId="77777777" w:rsidR="002A3AC9" w:rsidRDefault="00EC5E4D">
      <w:pPr>
        <w:pStyle w:val="lfej"/>
        <w:rPr>
          <w:sz w:val="22"/>
          <w:szCs w:val="22"/>
          <w:u w:val="single"/>
        </w:rPr>
      </w:pPr>
      <w:r>
        <w:rPr>
          <w:sz w:val="22"/>
          <w:szCs w:val="22"/>
          <w:u w:val="single"/>
        </w:rPr>
        <w:t>Szakvinavir</w:t>
      </w:r>
    </w:p>
    <w:p w14:paraId="00924771" w14:textId="77777777" w:rsidR="002A3AC9" w:rsidRDefault="00EC5E4D">
      <w:pPr>
        <w:pStyle w:val="lfej"/>
        <w:rPr>
          <w:sz w:val="22"/>
          <w:szCs w:val="22"/>
        </w:rPr>
      </w:pPr>
      <w:r>
        <w:rPr>
          <w:sz w:val="22"/>
          <w:szCs w:val="22"/>
        </w:rPr>
        <w:t>Mind a klaritromicin, mind a szakvinavir egyaránt szubsztrátja és inhibitora a CYP3A-nak, és bizonyíték van a bidirekcionális gyógyszerkölcsönhatásra. A klaritromicin (naponta kétszer 500 mg) és a szakvinavir (lágy zselatinkapszula, naponta háromszor 1200 mg) együttes alkalmazása 12 egészséges önkéntesnél a monoterápiában adott szakvinavir egyensúlyi állapotú AUC-jénél és C</w:t>
      </w:r>
      <w:r>
        <w:rPr>
          <w:sz w:val="22"/>
          <w:szCs w:val="22"/>
          <w:vertAlign w:val="subscript"/>
        </w:rPr>
        <w:t>max</w:t>
      </w:r>
      <w:r>
        <w:rPr>
          <w:sz w:val="22"/>
          <w:szCs w:val="22"/>
        </w:rPr>
        <w:noBreakHyphen/>
        <w:t>ánál 177%-kal magasabb AUC- és 187%-kal magasabb C</w:t>
      </w:r>
      <w:r>
        <w:rPr>
          <w:sz w:val="22"/>
          <w:szCs w:val="22"/>
          <w:vertAlign w:val="subscript"/>
        </w:rPr>
        <w:t>max</w:t>
      </w:r>
      <w:r>
        <w:rPr>
          <w:sz w:val="22"/>
          <w:szCs w:val="22"/>
        </w:rPr>
        <w:t xml:space="preserve"> értéket eredményezett. A klaritromicin AUC- és C</w:t>
      </w:r>
      <w:r>
        <w:rPr>
          <w:sz w:val="22"/>
          <w:szCs w:val="22"/>
          <w:vertAlign w:val="subscript"/>
        </w:rPr>
        <w:t>max</w:t>
      </w:r>
      <w:r>
        <w:rPr>
          <w:sz w:val="22"/>
          <w:szCs w:val="22"/>
        </w:rPr>
        <w:t xml:space="preserve"> értékek a monoterápiában alkalmazott klaritromicin esetén észlelteknél mintegy 40%-kal voltak magasabbak. A két gyógyszer korlátozott ideig történő együttes alkalmazásakor a vizsgált adagok/gyógyszerformák esetén nincs szükség a dózis módosítására. Elképzelhető, hogy a lágy zselatinkapszula gyógyszerformával végzett gyógyszerkölcsönhatás vizsgálatokból származó megfigyelések nem reprezentatívak a szakvinavir kemény zselatinkapszula alkalmazása esetén látott hatásokat illetően. Elképzelhető, hogy a csak szakvinavirral végzett gyógyszerkölcsönhatás vizsgálatokból származó megfigyelések nem reprezentatívak a szakvinavir/ritonavir-kezelés esetén látott hatásokat illetően. Ha a szakvinavirt ritonavirral adják egyidejűleg, mérlegelni kell a ritonavir klaritromicinre gyakorolt potenciális hatásait.</w:t>
      </w:r>
    </w:p>
    <w:p w14:paraId="06CB5B66" w14:textId="77777777" w:rsidR="002A3AC9" w:rsidRDefault="002A3AC9">
      <w:pPr>
        <w:pStyle w:val="lfej"/>
        <w:rPr>
          <w:sz w:val="22"/>
          <w:szCs w:val="22"/>
        </w:rPr>
      </w:pPr>
    </w:p>
    <w:p w14:paraId="427E1C02" w14:textId="77777777" w:rsidR="002A3AC9" w:rsidRDefault="00EC5E4D">
      <w:pPr>
        <w:tabs>
          <w:tab w:val="left" w:pos="708"/>
        </w:tabs>
        <w:ind w:left="567" w:hanging="567"/>
        <w:rPr>
          <w:b/>
          <w:sz w:val="22"/>
          <w:szCs w:val="22"/>
        </w:rPr>
      </w:pPr>
      <w:r>
        <w:rPr>
          <w:b/>
          <w:sz w:val="22"/>
          <w:szCs w:val="22"/>
        </w:rPr>
        <w:t>4.6</w:t>
      </w:r>
      <w:r>
        <w:rPr>
          <w:b/>
          <w:sz w:val="22"/>
          <w:szCs w:val="22"/>
        </w:rPr>
        <w:tab/>
        <w:t>Termékenység, terhesség és szoptatás</w:t>
      </w:r>
    </w:p>
    <w:p w14:paraId="7B055C22" w14:textId="77777777" w:rsidR="002A3AC9" w:rsidRDefault="002A3AC9">
      <w:pPr>
        <w:pStyle w:val="WW-Szvegtrzs3"/>
        <w:tabs>
          <w:tab w:val="left" w:pos="567"/>
        </w:tabs>
        <w:rPr>
          <w:sz w:val="22"/>
          <w:szCs w:val="22"/>
        </w:rPr>
      </w:pPr>
    </w:p>
    <w:p w14:paraId="17AC8DD9" w14:textId="77777777" w:rsidR="002A3AC9" w:rsidRDefault="00EC5E4D">
      <w:pPr>
        <w:pStyle w:val="WW-Szvegtrzs3"/>
        <w:tabs>
          <w:tab w:val="left" w:pos="567"/>
        </w:tabs>
        <w:rPr>
          <w:sz w:val="22"/>
          <w:szCs w:val="22"/>
          <w:u w:val="single"/>
        </w:rPr>
      </w:pPr>
      <w:r>
        <w:rPr>
          <w:sz w:val="22"/>
          <w:szCs w:val="22"/>
          <w:u w:val="single"/>
        </w:rPr>
        <w:t>Terhesség</w:t>
      </w:r>
    </w:p>
    <w:p w14:paraId="51CA7D4C" w14:textId="290F488B" w:rsidR="002A3AC9" w:rsidRDefault="00EC5E4D">
      <w:pPr>
        <w:pStyle w:val="WW-Szvegtrzs3"/>
        <w:tabs>
          <w:tab w:val="left" w:pos="567"/>
        </w:tabs>
        <w:rPr>
          <w:sz w:val="22"/>
          <w:szCs w:val="22"/>
        </w:rPr>
      </w:pPr>
      <w:r>
        <w:rPr>
          <w:sz w:val="22"/>
          <w:szCs w:val="22"/>
        </w:rPr>
        <w:t>A klaritromicin biztonságosságát terhesség alatt nem igazolták.</w:t>
      </w:r>
    </w:p>
    <w:p w14:paraId="6035A0AD" w14:textId="77777777" w:rsidR="002A3AC9" w:rsidRDefault="00EC5E4D">
      <w:pPr>
        <w:pStyle w:val="WW-Szvegtrzs3"/>
        <w:tabs>
          <w:tab w:val="left" w:pos="567"/>
        </w:tabs>
        <w:rPr>
          <w:sz w:val="22"/>
          <w:szCs w:val="22"/>
        </w:rPr>
      </w:pPr>
      <w:r>
        <w:rPr>
          <w:sz w:val="22"/>
          <w:szCs w:val="22"/>
        </w:rPr>
        <w:t xml:space="preserve">Állatkísérletek eredményei és humán vizsgálatok tapasztalatai alapján az embrionális fejlődésre kifejtett nemkívánatos hatások lehetősége nem zárható ki. Néhány megfigyeléses vizsgálatban, ahol az első és második trimeszterben klaritromicint alkalmaztak, magasabb volt a vetélés kockázata ahhoz képest, </w:t>
      </w:r>
      <w:r>
        <w:rPr>
          <w:sz w:val="22"/>
          <w:szCs w:val="22"/>
        </w:rPr>
        <w:lastRenderedPageBreak/>
        <w:t>amikor egyáltalán nem alkalmaztak antibiotikumot, vagy valamilyen más antibiotikumot alkalmaztak ugyanabban az időszakban. A makrolidok, köztük a klaritromicin terhesség alatti alkalmazásával összefüggésben bekövetkező súlyos veleszületett rendellenességek kockázatáról rendelkezésre álló epidemiológiai vizsgálatok ellentmondásos eredményeket szolgáltatnak.</w:t>
      </w:r>
      <w:r>
        <w:rPr>
          <w:noProof/>
          <w:sz w:val="22"/>
          <w:szCs w:val="22"/>
        </w:rPr>
        <w:t xml:space="preserve"> Ezért a készítmény terhesség alatti alkalmazása nem ajánlott a terápiás előnyök és a kockázatok gondos mérlegelése nélkül</w:t>
      </w:r>
      <w:r>
        <w:rPr>
          <w:sz w:val="22"/>
          <w:szCs w:val="22"/>
        </w:rPr>
        <w:t>.</w:t>
      </w:r>
    </w:p>
    <w:p w14:paraId="04620569" w14:textId="77777777" w:rsidR="002A3AC9" w:rsidRDefault="002A3AC9">
      <w:pPr>
        <w:pStyle w:val="Szvegtrzs"/>
        <w:rPr>
          <w:sz w:val="22"/>
          <w:szCs w:val="22"/>
        </w:rPr>
      </w:pPr>
    </w:p>
    <w:p w14:paraId="3F764A96" w14:textId="77777777" w:rsidR="002A3AC9" w:rsidRDefault="00EC5E4D">
      <w:pPr>
        <w:pStyle w:val="Szvegtrzs"/>
        <w:rPr>
          <w:sz w:val="22"/>
          <w:szCs w:val="22"/>
          <w:u w:val="single"/>
        </w:rPr>
      </w:pPr>
      <w:r>
        <w:rPr>
          <w:sz w:val="22"/>
          <w:szCs w:val="22"/>
          <w:u w:val="single"/>
        </w:rPr>
        <w:t>Szoptatás</w:t>
      </w:r>
    </w:p>
    <w:p w14:paraId="3818343C" w14:textId="77777777" w:rsidR="002A3AC9" w:rsidRDefault="00EC5E4D">
      <w:pPr>
        <w:pStyle w:val="Szvegtrzs"/>
        <w:rPr>
          <w:sz w:val="22"/>
          <w:szCs w:val="22"/>
        </w:rPr>
      </w:pPr>
      <w:r>
        <w:rPr>
          <w:sz w:val="22"/>
          <w:szCs w:val="22"/>
        </w:rPr>
        <w:t>A klaritromicin szoptatás alatti alkalmazásának biztonságosságát nem igazolták.</w:t>
      </w:r>
    </w:p>
    <w:p w14:paraId="1398B02D" w14:textId="77777777" w:rsidR="002A3AC9" w:rsidRDefault="00EC5E4D">
      <w:pPr>
        <w:pStyle w:val="Szvegtrzs"/>
        <w:rPr>
          <w:sz w:val="22"/>
          <w:szCs w:val="22"/>
        </w:rPr>
      </w:pPr>
      <w:r>
        <w:rPr>
          <w:sz w:val="22"/>
          <w:szCs w:val="22"/>
        </w:rPr>
        <w:t>A klaritromicin kis mértékben kiválasztódik a humán anyatejbe. Becslések szerint egy kizárólag anyatejjel táplált csecsemő szervezetébe az anya testtömegének megfelelő dózisban alkalmazott klaritromicinnek körülbelül 1,7%-a jut át.</w:t>
      </w:r>
    </w:p>
    <w:p w14:paraId="63AB61AC" w14:textId="4A5EC8EC" w:rsidR="002A3AC9" w:rsidRDefault="00EC5E4D">
      <w:pPr>
        <w:rPr>
          <w:color w:val="000000"/>
          <w:sz w:val="22"/>
          <w:szCs w:val="22"/>
        </w:rPr>
      </w:pPr>
      <w:r>
        <w:rPr>
          <w:color w:val="000000"/>
          <w:sz w:val="22"/>
          <w:szCs w:val="22"/>
        </w:rPr>
        <w:t>Ezért szoptatás alatt a Fromilid szuszpenzió alkalmazása nem javasolt.</w:t>
      </w:r>
    </w:p>
    <w:p w14:paraId="40CEED95" w14:textId="77777777" w:rsidR="002A3AC9" w:rsidRDefault="002A3AC9">
      <w:pPr>
        <w:tabs>
          <w:tab w:val="left" w:pos="850"/>
        </w:tabs>
        <w:rPr>
          <w:sz w:val="22"/>
          <w:szCs w:val="22"/>
        </w:rPr>
      </w:pPr>
    </w:p>
    <w:p w14:paraId="5D7D4EC2" w14:textId="77777777" w:rsidR="002A3AC9" w:rsidRDefault="00EC5E4D">
      <w:pPr>
        <w:tabs>
          <w:tab w:val="left" w:pos="850"/>
        </w:tabs>
        <w:rPr>
          <w:sz w:val="22"/>
          <w:szCs w:val="22"/>
          <w:u w:val="single"/>
        </w:rPr>
      </w:pPr>
      <w:r>
        <w:rPr>
          <w:sz w:val="22"/>
          <w:szCs w:val="22"/>
          <w:u w:val="single"/>
        </w:rPr>
        <w:t>Termékenység</w:t>
      </w:r>
    </w:p>
    <w:p w14:paraId="2B435C51" w14:textId="77777777" w:rsidR="002A3AC9" w:rsidRDefault="00EC5E4D">
      <w:pPr>
        <w:tabs>
          <w:tab w:val="left" w:pos="850"/>
        </w:tabs>
        <w:rPr>
          <w:sz w:val="22"/>
          <w:szCs w:val="22"/>
        </w:rPr>
      </w:pPr>
      <w:r>
        <w:rPr>
          <w:sz w:val="22"/>
          <w:szCs w:val="22"/>
        </w:rPr>
        <w:t>A patkányokon a termékenységi vizsgálatok nem mutattak káros hatásokat (lásd 5.3 pont).</w:t>
      </w:r>
    </w:p>
    <w:p w14:paraId="52396239" w14:textId="77777777" w:rsidR="002A3AC9" w:rsidRDefault="002A3AC9">
      <w:pPr>
        <w:tabs>
          <w:tab w:val="left" w:pos="567"/>
        </w:tabs>
        <w:rPr>
          <w:sz w:val="22"/>
          <w:szCs w:val="22"/>
        </w:rPr>
      </w:pPr>
    </w:p>
    <w:p w14:paraId="7E79F387" w14:textId="77777777" w:rsidR="002A3AC9" w:rsidRDefault="00EC5E4D">
      <w:pPr>
        <w:pStyle w:val="WW-Szvegtrzs21"/>
        <w:spacing w:line="240" w:lineRule="auto"/>
        <w:rPr>
          <w:szCs w:val="22"/>
        </w:rPr>
      </w:pPr>
      <w:r>
        <w:rPr>
          <w:szCs w:val="22"/>
        </w:rPr>
        <w:t>4.7</w:t>
      </w:r>
      <w:r>
        <w:rPr>
          <w:szCs w:val="22"/>
        </w:rPr>
        <w:tab/>
        <w:t>A készítmény hatásai a gépjárművezetéshez és a gépek kezeléséhez szükséges képességekre</w:t>
      </w:r>
    </w:p>
    <w:p w14:paraId="2780858B" w14:textId="77777777" w:rsidR="002A3AC9" w:rsidRDefault="002A3AC9">
      <w:pPr>
        <w:tabs>
          <w:tab w:val="left" w:pos="567"/>
        </w:tabs>
        <w:rPr>
          <w:sz w:val="22"/>
          <w:szCs w:val="22"/>
        </w:rPr>
      </w:pPr>
    </w:p>
    <w:p w14:paraId="088FF6F2" w14:textId="77777777" w:rsidR="002A3AC9" w:rsidRDefault="00EC5E4D">
      <w:pPr>
        <w:pStyle w:val="Szvegtrzs"/>
        <w:rPr>
          <w:sz w:val="22"/>
          <w:szCs w:val="22"/>
        </w:rPr>
      </w:pPr>
      <w:r>
        <w:rPr>
          <w:sz w:val="22"/>
          <w:szCs w:val="22"/>
        </w:rPr>
        <w:t>Nem állnak rendelkezésre adatok a klaritromicin gépjárművezetéshez és a gépek kezeléséhez szükséges képességekre gyakorolt hatásáról.</w:t>
      </w:r>
    </w:p>
    <w:p w14:paraId="16016667" w14:textId="77777777" w:rsidR="002A3AC9" w:rsidRDefault="00EC5E4D">
      <w:pPr>
        <w:rPr>
          <w:sz w:val="22"/>
          <w:szCs w:val="22"/>
        </w:rPr>
      </w:pPr>
      <w:r>
        <w:rPr>
          <w:sz w:val="22"/>
          <w:szCs w:val="22"/>
        </w:rPr>
        <w:t>Figyelembe kell azonban venni, mielőtt a beteg gépjárművet vezetne, illetve gépeket kezelne, hogy a kezelés mellékhatásaként szédülés, vertigo, zavartság és dezorientáció léphet fel.</w:t>
      </w:r>
    </w:p>
    <w:p w14:paraId="4EC231A4" w14:textId="77777777" w:rsidR="002A3AC9" w:rsidRDefault="002A3AC9">
      <w:pPr>
        <w:tabs>
          <w:tab w:val="left" w:pos="567"/>
        </w:tabs>
        <w:rPr>
          <w:sz w:val="22"/>
          <w:szCs w:val="22"/>
        </w:rPr>
      </w:pPr>
    </w:p>
    <w:p w14:paraId="0AF75193" w14:textId="77777777" w:rsidR="002A3AC9" w:rsidRDefault="00EC5E4D">
      <w:pPr>
        <w:tabs>
          <w:tab w:val="left" w:pos="567"/>
        </w:tabs>
        <w:rPr>
          <w:b/>
          <w:sz w:val="22"/>
          <w:szCs w:val="22"/>
        </w:rPr>
      </w:pPr>
      <w:r>
        <w:rPr>
          <w:b/>
          <w:sz w:val="22"/>
          <w:szCs w:val="22"/>
        </w:rPr>
        <w:t>4.8</w:t>
      </w:r>
      <w:r>
        <w:rPr>
          <w:b/>
          <w:sz w:val="22"/>
          <w:szCs w:val="22"/>
        </w:rPr>
        <w:tab/>
        <w:t>Nemkívánatos hatások, mellékhatások</w:t>
      </w:r>
    </w:p>
    <w:p w14:paraId="4D012495" w14:textId="77777777" w:rsidR="002A3AC9" w:rsidRDefault="002A3AC9">
      <w:pPr>
        <w:pStyle w:val="WW-Szvegtrzs31"/>
        <w:rPr>
          <w:szCs w:val="22"/>
        </w:rPr>
      </w:pPr>
    </w:p>
    <w:p w14:paraId="3FE53A1A" w14:textId="77777777" w:rsidR="002A3AC9" w:rsidRPr="00AC474F" w:rsidRDefault="00EC5E4D">
      <w:pPr>
        <w:rPr>
          <w:b/>
          <w:i/>
          <w:iCs/>
          <w:sz w:val="22"/>
          <w:szCs w:val="22"/>
        </w:rPr>
      </w:pPr>
      <w:r>
        <w:rPr>
          <w:b/>
          <w:sz w:val="22"/>
          <w:szCs w:val="22"/>
        </w:rPr>
        <w:t xml:space="preserve">a, </w:t>
      </w:r>
      <w:r w:rsidRPr="00AC474F">
        <w:rPr>
          <w:b/>
          <w:i/>
          <w:iCs/>
          <w:sz w:val="22"/>
          <w:szCs w:val="22"/>
        </w:rPr>
        <w:t>A biztonságossági profil összefoglalása</w:t>
      </w:r>
    </w:p>
    <w:p w14:paraId="57F2C658" w14:textId="77777777" w:rsidR="002A3AC9" w:rsidRDefault="002A3AC9">
      <w:pPr>
        <w:rPr>
          <w:noProof/>
          <w:sz w:val="22"/>
          <w:szCs w:val="22"/>
        </w:rPr>
      </w:pPr>
    </w:p>
    <w:p w14:paraId="17B00213" w14:textId="77777777" w:rsidR="002A3AC9" w:rsidRDefault="00EC5E4D">
      <w:pPr>
        <w:rPr>
          <w:noProof/>
          <w:sz w:val="22"/>
          <w:szCs w:val="22"/>
        </w:rPr>
      </w:pPr>
      <w:r>
        <w:rPr>
          <w:noProof/>
          <w:sz w:val="22"/>
          <w:szCs w:val="22"/>
        </w:rPr>
        <w:t>A klaritromicin-kezelés felnőtt- és gyermekpopulációban leggyakrabban és általánosan előforduló mellékhatásai közé a hasi fájdalom, hasmenés, a hányinger, hányás és az ízérzés zavara tartozik. A mellékhatások általában enyhék, és megfelelnek a makrolid antibiotikumok ismert biztonságossági profiljának (lásd 4.8 pont, b, bekezdés).</w:t>
      </w:r>
    </w:p>
    <w:p w14:paraId="564C6027" w14:textId="77777777" w:rsidR="002A3AC9" w:rsidRDefault="002A3AC9">
      <w:pPr>
        <w:rPr>
          <w:noProof/>
          <w:sz w:val="22"/>
          <w:szCs w:val="22"/>
        </w:rPr>
      </w:pPr>
    </w:p>
    <w:p w14:paraId="4B119C6C" w14:textId="77777777" w:rsidR="002A3AC9" w:rsidRDefault="00EC5E4D">
      <w:pPr>
        <w:rPr>
          <w:noProof/>
          <w:sz w:val="22"/>
          <w:szCs w:val="22"/>
        </w:rPr>
      </w:pPr>
      <w:r>
        <w:rPr>
          <w:noProof/>
          <w:sz w:val="22"/>
          <w:szCs w:val="22"/>
        </w:rPr>
        <w:t>A klinikai vizsgálatok során nem volt szignifikáns különbség a gasztrointesztinális mellékhatások incidenciájában a mycobacteriális fertőzéseken átesett és nem átesett betegek között.</w:t>
      </w:r>
    </w:p>
    <w:p w14:paraId="7DAAB66B" w14:textId="77777777" w:rsidR="002A3AC9" w:rsidRDefault="002A3AC9">
      <w:pPr>
        <w:rPr>
          <w:sz w:val="22"/>
          <w:szCs w:val="22"/>
        </w:rPr>
      </w:pPr>
    </w:p>
    <w:p w14:paraId="19252940" w14:textId="77777777" w:rsidR="002A3AC9" w:rsidRDefault="00EC5E4D">
      <w:pPr>
        <w:keepNext/>
        <w:rPr>
          <w:b/>
          <w:sz w:val="22"/>
          <w:szCs w:val="22"/>
        </w:rPr>
      </w:pPr>
      <w:r>
        <w:rPr>
          <w:b/>
          <w:sz w:val="22"/>
          <w:szCs w:val="22"/>
        </w:rPr>
        <w:t xml:space="preserve">b, </w:t>
      </w:r>
      <w:r w:rsidRPr="00AC474F">
        <w:rPr>
          <w:b/>
          <w:i/>
          <w:iCs/>
          <w:sz w:val="22"/>
          <w:szCs w:val="22"/>
        </w:rPr>
        <w:t>A mellékhatások táblázatos összefoglalása</w:t>
      </w:r>
    </w:p>
    <w:p w14:paraId="41AC31D3" w14:textId="77777777" w:rsidR="002A3AC9" w:rsidRDefault="002A3AC9">
      <w:pPr>
        <w:keepNext/>
        <w:rPr>
          <w:sz w:val="22"/>
          <w:szCs w:val="22"/>
        </w:rPr>
      </w:pPr>
    </w:p>
    <w:p w14:paraId="060040A0" w14:textId="77777777" w:rsidR="002A3AC9" w:rsidRDefault="00EC5E4D">
      <w:pPr>
        <w:keepNext/>
        <w:rPr>
          <w:sz w:val="22"/>
          <w:szCs w:val="22"/>
        </w:rPr>
      </w:pPr>
      <w:r>
        <w:rPr>
          <w:sz w:val="22"/>
          <w:szCs w:val="22"/>
        </w:rPr>
        <w:t>Az alábbi táblázat foglalja össze a klaritromicin azonnali hatóanyag-leadású tabletta, granulátum belsőleges szuszpenzióhoz, por oldatos injekcióhoz és módosított hatóanyag-leadású tabletta gyógyszerformákkal végzett klinikai vizsgálatokban és a forgalomba hozatalt követő tapasztalatok alapján jelentett mellékhatásokat.</w:t>
      </w:r>
    </w:p>
    <w:p w14:paraId="52BBECDA" w14:textId="77777777" w:rsidR="002A3AC9" w:rsidRDefault="002A3AC9">
      <w:pPr>
        <w:rPr>
          <w:sz w:val="22"/>
          <w:szCs w:val="22"/>
        </w:rPr>
      </w:pPr>
    </w:p>
    <w:p w14:paraId="0E7A3FEA" w14:textId="77777777" w:rsidR="002A3AC9" w:rsidRDefault="00EC5E4D">
      <w:pPr>
        <w:pStyle w:val="Szvegtrzsbehzssal"/>
        <w:tabs>
          <w:tab w:val="left" w:pos="1418"/>
          <w:tab w:val="left" w:pos="3828"/>
        </w:tabs>
        <w:ind w:left="0"/>
        <w:rPr>
          <w:noProof/>
          <w:sz w:val="22"/>
          <w:szCs w:val="22"/>
        </w:rPr>
      </w:pPr>
      <w:r>
        <w:rPr>
          <w:noProof/>
          <w:sz w:val="22"/>
          <w:szCs w:val="22"/>
        </w:rPr>
        <w:t>A klaritromicinnel legalább lehetséges kapcsolatban állónak tekintett mellékhatások szervrendszer szerinti osztályozásban és az alábbi gyakorisági kategóriák szerint kerülnek felsorolásra:</w:t>
      </w:r>
    </w:p>
    <w:p w14:paraId="02F2A9E3" w14:textId="3B7649F8" w:rsidR="002A3AC9" w:rsidRDefault="00EC5E4D">
      <w:pPr>
        <w:pStyle w:val="Szvegtrzsbehzssal"/>
        <w:tabs>
          <w:tab w:val="left" w:pos="1418"/>
          <w:tab w:val="left" w:pos="3828"/>
        </w:tabs>
        <w:ind w:left="0"/>
        <w:rPr>
          <w:sz w:val="22"/>
          <w:szCs w:val="22"/>
        </w:rPr>
      </w:pPr>
      <w:r>
        <w:rPr>
          <w:sz w:val="22"/>
          <w:szCs w:val="22"/>
        </w:rPr>
        <w:t>gyakori</w:t>
      </w:r>
      <w:r w:rsidR="00B0483F">
        <w:rPr>
          <w:sz w:val="22"/>
          <w:szCs w:val="22"/>
        </w:rPr>
        <w:t xml:space="preserve"> </w:t>
      </w:r>
      <w:r>
        <w:rPr>
          <w:sz w:val="22"/>
          <w:szCs w:val="22"/>
        </w:rPr>
        <w:t>(≥ 1/100 – </w:t>
      </w:r>
      <w:r>
        <w:rPr>
          <w:sz w:val="22"/>
          <w:szCs w:val="22"/>
        </w:rPr>
        <w:sym w:font="Symbol" w:char="F03C"/>
      </w:r>
      <w:r>
        <w:rPr>
          <w:sz w:val="22"/>
          <w:szCs w:val="22"/>
        </w:rPr>
        <w:t> 1/10)</w:t>
      </w:r>
      <w:r w:rsidR="00B0483F">
        <w:rPr>
          <w:sz w:val="22"/>
          <w:szCs w:val="22"/>
        </w:rPr>
        <w:t>;</w:t>
      </w:r>
    </w:p>
    <w:p w14:paraId="326C0D95" w14:textId="440086FC" w:rsidR="002A3AC9" w:rsidRDefault="00EC5E4D">
      <w:pPr>
        <w:pStyle w:val="Szvegtrzsbehzssal"/>
        <w:tabs>
          <w:tab w:val="left" w:pos="1418"/>
          <w:tab w:val="left" w:pos="3828"/>
        </w:tabs>
        <w:ind w:left="0"/>
        <w:rPr>
          <w:sz w:val="22"/>
          <w:szCs w:val="22"/>
        </w:rPr>
      </w:pPr>
      <w:r>
        <w:rPr>
          <w:sz w:val="22"/>
          <w:szCs w:val="22"/>
        </w:rPr>
        <w:t>nem gyakori (≥ 1/1000 – </w:t>
      </w:r>
      <w:r>
        <w:rPr>
          <w:sz w:val="22"/>
          <w:szCs w:val="22"/>
        </w:rPr>
        <w:sym w:font="Symbol" w:char="F03C"/>
      </w:r>
      <w:r>
        <w:rPr>
          <w:sz w:val="22"/>
          <w:szCs w:val="22"/>
        </w:rPr>
        <w:t> 1/100)</w:t>
      </w:r>
      <w:r w:rsidR="00B0483F">
        <w:rPr>
          <w:sz w:val="22"/>
          <w:szCs w:val="22"/>
        </w:rPr>
        <w:t>;</w:t>
      </w:r>
    </w:p>
    <w:p w14:paraId="7651D5BC" w14:textId="63474DDB" w:rsidR="002A3AC9" w:rsidRDefault="00EC5E4D">
      <w:pPr>
        <w:pStyle w:val="Szvegtrzsbehzssal"/>
        <w:tabs>
          <w:tab w:val="left" w:pos="1418"/>
          <w:tab w:val="left" w:pos="3828"/>
        </w:tabs>
        <w:ind w:left="0"/>
        <w:rPr>
          <w:sz w:val="22"/>
          <w:szCs w:val="22"/>
        </w:rPr>
      </w:pPr>
      <w:r>
        <w:rPr>
          <w:sz w:val="22"/>
          <w:szCs w:val="22"/>
        </w:rPr>
        <w:t>nem ismert (a gyakoriság a rendelkezésre álló adatokból nem állapítható meg).</w:t>
      </w:r>
    </w:p>
    <w:p w14:paraId="3C817E84" w14:textId="77777777" w:rsidR="002A3AC9" w:rsidRDefault="002A3AC9">
      <w:pPr>
        <w:pStyle w:val="Szvegtrzsbehzssal"/>
        <w:tabs>
          <w:tab w:val="left" w:pos="1418"/>
          <w:tab w:val="left" w:pos="3828"/>
        </w:tabs>
        <w:ind w:left="0"/>
        <w:rPr>
          <w:sz w:val="22"/>
          <w:szCs w:val="22"/>
        </w:rPr>
      </w:pPr>
    </w:p>
    <w:p w14:paraId="4EDF531D" w14:textId="77777777" w:rsidR="002A3AC9" w:rsidRDefault="00EC5E4D">
      <w:pPr>
        <w:pStyle w:val="Szvegtrzsbehzssal"/>
        <w:tabs>
          <w:tab w:val="left" w:pos="1418"/>
          <w:tab w:val="left" w:pos="3828"/>
        </w:tabs>
        <w:ind w:left="0"/>
        <w:rPr>
          <w:sz w:val="22"/>
          <w:szCs w:val="22"/>
        </w:rPr>
      </w:pPr>
      <w:r>
        <w:rPr>
          <w:sz w:val="22"/>
          <w:szCs w:val="22"/>
        </w:rPr>
        <w:t>Az egyes gyakorisági csoportban a mellékhatások, mikor ez megállapítható volt, csökkenő súlyosság szerint kerülnek felsorolásra.</w:t>
      </w:r>
    </w:p>
    <w:p w14:paraId="68844C1C" w14:textId="77777777" w:rsidR="002A3AC9" w:rsidRDefault="002A3AC9">
      <w:pPr>
        <w:pStyle w:val="Szvegtrzsbehzssal"/>
        <w:tabs>
          <w:tab w:val="left" w:pos="1418"/>
          <w:tab w:val="left" w:pos="3828"/>
        </w:tabs>
        <w:ind w:left="0"/>
        <w:rPr>
          <w:sz w:val="22"/>
          <w:szCs w:val="22"/>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2189"/>
        <w:gridCol w:w="2189"/>
        <w:gridCol w:w="2189"/>
      </w:tblGrid>
      <w:tr w:rsidR="002A3AC9" w14:paraId="6213D04F" w14:textId="77777777">
        <w:trPr>
          <w:trHeight w:val="37"/>
          <w:tblHeader/>
        </w:trPr>
        <w:tc>
          <w:tcPr>
            <w:tcW w:w="2188" w:type="dxa"/>
          </w:tcPr>
          <w:p w14:paraId="3668C070" w14:textId="77777777" w:rsidR="002A3AC9" w:rsidRDefault="00EC5E4D">
            <w:pPr>
              <w:keepNext/>
              <w:rPr>
                <w:b/>
                <w:sz w:val="22"/>
                <w:szCs w:val="22"/>
              </w:rPr>
            </w:pPr>
            <w:r>
              <w:rPr>
                <w:b/>
                <w:sz w:val="22"/>
                <w:szCs w:val="22"/>
              </w:rPr>
              <w:t>Szervrendszer</w:t>
            </w:r>
          </w:p>
        </w:tc>
        <w:tc>
          <w:tcPr>
            <w:tcW w:w="2189" w:type="dxa"/>
            <w:vAlign w:val="center"/>
          </w:tcPr>
          <w:p w14:paraId="6BAB6299" w14:textId="77777777" w:rsidR="002A3AC9" w:rsidRDefault="00EC5E4D">
            <w:pPr>
              <w:rPr>
                <w:b/>
                <w:sz w:val="22"/>
                <w:szCs w:val="22"/>
              </w:rPr>
            </w:pPr>
            <w:r>
              <w:rPr>
                <w:b/>
                <w:sz w:val="22"/>
                <w:szCs w:val="22"/>
              </w:rPr>
              <w:t>Gyakori</w:t>
            </w:r>
          </w:p>
        </w:tc>
        <w:tc>
          <w:tcPr>
            <w:tcW w:w="2189" w:type="dxa"/>
            <w:vAlign w:val="center"/>
          </w:tcPr>
          <w:p w14:paraId="28F28696" w14:textId="77777777" w:rsidR="002A3AC9" w:rsidRDefault="00EC5E4D">
            <w:pPr>
              <w:rPr>
                <w:b/>
                <w:sz w:val="22"/>
                <w:szCs w:val="22"/>
              </w:rPr>
            </w:pPr>
            <w:r>
              <w:rPr>
                <w:b/>
                <w:sz w:val="22"/>
                <w:szCs w:val="22"/>
              </w:rPr>
              <w:t>Nem gyakori</w:t>
            </w:r>
          </w:p>
        </w:tc>
        <w:tc>
          <w:tcPr>
            <w:tcW w:w="2189" w:type="dxa"/>
            <w:vAlign w:val="center"/>
          </w:tcPr>
          <w:p w14:paraId="7B21FDD5" w14:textId="77777777" w:rsidR="002A3AC9" w:rsidRDefault="00EC5E4D">
            <w:pPr>
              <w:rPr>
                <w:b/>
                <w:sz w:val="22"/>
                <w:szCs w:val="22"/>
              </w:rPr>
            </w:pPr>
            <w:r>
              <w:rPr>
                <w:b/>
                <w:sz w:val="22"/>
                <w:szCs w:val="22"/>
              </w:rPr>
              <w:t>Nem ismert</w:t>
            </w:r>
          </w:p>
        </w:tc>
      </w:tr>
      <w:tr w:rsidR="002A3AC9" w14:paraId="7A9AD7E2" w14:textId="77777777">
        <w:trPr>
          <w:trHeight w:val="37"/>
        </w:trPr>
        <w:tc>
          <w:tcPr>
            <w:tcW w:w="2188" w:type="dxa"/>
          </w:tcPr>
          <w:p w14:paraId="2D2B5153" w14:textId="77777777" w:rsidR="002A3AC9" w:rsidRDefault="00EC5E4D">
            <w:pPr>
              <w:rPr>
                <w:sz w:val="22"/>
                <w:szCs w:val="22"/>
              </w:rPr>
            </w:pPr>
            <w:r>
              <w:rPr>
                <w:noProof/>
                <w:sz w:val="22"/>
                <w:szCs w:val="22"/>
              </w:rPr>
              <w:t>Fertőző betegségek és parazitafertőzések</w:t>
            </w:r>
          </w:p>
        </w:tc>
        <w:tc>
          <w:tcPr>
            <w:tcW w:w="2189" w:type="dxa"/>
          </w:tcPr>
          <w:p w14:paraId="71DBA2D5" w14:textId="77777777" w:rsidR="002A3AC9" w:rsidRDefault="002A3AC9">
            <w:pPr>
              <w:keepNext/>
              <w:rPr>
                <w:sz w:val="22"/>
                <w:szCs w:val="22"/>
              </w:rPr>
            </w:pPr>
          </w:p>
        </w:tc>
        <w:tc>
          <w:tcPr>
            <w:tcW w:w="2189" w:type="dxa"/>
          </w:tcPr>
          <w:p w14:paraId="1202C2BD" w14:textId="77777777" w:rsidR="002A3AC9" w:rsidRDefault="00EC5E4D">
            <w:pPr>
              <w:keepNext/>
              <w:rPr>
                <w:color w:val="000000"/>
                <w:sz w:val="22"/>
                <w:szCs w:val="22"/>
              </w:rPr>
            </w:pPr>
            <w:r>
              <w:rPr>
                <w:sz w:val="22"/>
                <w:szCs w:val="22"/>
              </w:rPr>
              <w:t xml:space="preserve">candidiasis, </w:t>
            </w:r>
            <w:r>
              <w:rPr>
                <w:color w:val="000000"/>
                <w:sz w:val="22"/>
                <w:szCs w:val="22"/>
              </w:rPr>
              <w:t>gastroenteritis</w:t>
            </w:r>
            <w:r>
              <w:rPr>
                <w:color w:val="000000"/>
                <w:sz w:val="22"/>
                <w:szCs w:val="22"/>
                <w:vertAlign w:val="superscript"/>
              </w:rPr>
              <w:t>1</w:t>
            </w:r>
            <w:r>
              <w:rPr>
                <w:color w:val="000000"/>
                <w:sz w:val="22"/>
                <w:szCs w:val="22"/>
              </w:rPr>
              <w:t>, fertőzés</w:t>
            </w:r>
            <w:r>
              <w:rPr>
                <w:color w:val="000000"/>
                <w:sz w:val="22"/>
                <w:szCs w:val="22"/>
                <w:vertAlign w:val="superscript"/>
              </w:rPr>
              <w:t>2</w:t>
            </w:r>
            <w:r>
              <w:rPr>
                <w:color w:val="000000"/>
                <w:sz w:val="22"/>
                <w:szCs w:val="22"/>
              </w:rPr>
              <w:t xml:space="preserve">, </w:t>
            </w:r>
            <w:r>
              <w:rPr>
                <w:sz w:val="22"/>
                <w:szCs w:val="22"/>
              </w:rPr>
              <w:t>hüvelyi infekció</w:t>
            </w:r>
          </w:p>
        </w:tc>
        <w:tc>
          <w:tcPr>
            <w:tcW w:w="2189" w:type="dxa"/>
          </w:tcPr>
          <w:p w14:paraId="0EF57BCB" w14:textId="77777777" w:rsidR="002A3AC9" w:rsidRDefault="00EC5E4D">
            <w:pPr>
              <w:keepNext/>
              <w:rPr>
                <w:sz w:val="22"/>
                <w:szCs w:val="22"/>
              </w:rPr>
            </w:pPr>
            <w:r>
              <w:rPr>
                <w:sz w:val="22"/>
                <w:szCs w:val="22"/>
              </w:rPr>
              <w:t>pseudomembranosus colitis, erysipelas</w:t>
            </w:r>
          </w:p>
        </w:tc>
      </w:tr>
      <w:tr w:rsidR="002A3AC9" w14:paraId="30B682BA" w14:textId="77777777">
        <w:trPr>
          <w:trHeight w:val="37"/>
        </w:trPr>
        <w:tc>
          <w:tcPr>
            <w:tcW w:w="2188" w:type="dxa"/>
          </w:tcPr>
          <w:p w14:paraId="215901B3" w14:textId="77777777" w:rsidR="002A3AC9" w:rsidRDefault="00EC5E4D">
            <w:pPr>
              <w:rPr>
                <w:sz w:val="22"/>
                <w:szCs w:val="22"/>
              </w:rPr>
            </w:pPr>
            <w:r>
              <w:rPr>
                <w:noProof/>
                <w:sz w:val="22"/>
                <w:szCs w:val="22"/>
              </w:rPr>
              <w:lastRenderedPageBreak/>
              <w:t>Vérképzőszervi és nyirokrendszeri betegségek és  tünetek</w:t>
            </w:r>
          </w:p>
        </w:tc>
        <w:tc>
          <w:tcPr>
            <w:tcW w:w="2189" w:type="dxa"/>
          </w:tcPr>
          <w:p w14:paraId="6EA2E898" w14:textId="77777777" w:rsidR="002A3AC9" w:rsidRDefault="002A3AC9">
            <w:pPr>
              <w:rPr>
                <w:sz w:val="22"/>
                <w:szCs w:val="22"/>
              </w:rPr>
            </w:pPr>
          </w:p>
        </w:tc>
        <w:tc>
          <w:tcPr>
            <w:tcW w:w="2189" w:type="dxa"/>
          </w:tcPr>
          <w:p w14:paraId="7AC214BD" w14:textId="77777777" w:rsidR="002A3AC9" w:rsidRDefault="00EC5E4D">
            <w:pPr>
              <w:rPr>
                <w:color w:val="000000"/>
                <w:sz w:val="22"/>
                <w:szCs w:val="22"/>
              </w:rPr>
            </w:pPr>
            <w:r>
              <w:rPr>
                <w:color w:val="000000"/>
                <w:sz w:val="22"/>
                <w:szCs w:val="22"/>
              </w:rPr>
              <w:t>leukopenia, neutropenia</w:t>
            </w:r>
            <w:r>
              <w:rPr>
                <w:color w:val="000000"/>
                <w:sz w:val="22"/>
                <w:szCs w:val="22"/>
                <w:vertAlign w:val="superscript"/>
              </w:rPr>
              <w:t>3</w:t>
            </w:r>
            <w:r>
              <w:rPr>
                <w:color w:val="000000"/>
                <w:sz w:val="22"/>
                <w:szCs w:val="22"/>
              </w:rPr>
              <w:t>, thrombocythemia</w:t>
            </w:r>
            <w:r>
              <w:rPr>
                <w:bCs/>
                <w:color w:val="000000"/>
                <w:sz w:val="22"/>
                <w:szCs w:val="22"/>
                <w:vertAlign w:val="superscript"/>
              </w:rPr>
              <w:t>2</w:t>
            </w:r>
            <w:r>
              <w:rPr>
                <w:color w:val="000000"/>
                <w:sz w:val="22"/>
                <w:szCs w:val="22"/>
              </w:rPr>
              <w:t>, eosinophilia</w:t>
            </w:r>
            <w:r>
              <w:rPr>
                <w:color w:val="000000"/>
                <w:sz w:val="22"/>
                <w:szCs w:val="22"/>
                <w:vertAlign w:val="superscript"/>
              </w:rPr>
              <w:t>3</w:t>
            </w:r>
          </w:p>
        </w:tc>
        <w:tc>
          <w:tcPr>
            <w:tcW w:w="2189" w:type="dxa"/>
          </w:tcPr>
          <w:p w14:paraId="02A28AE1" w14:textId="77777777" w:rsidR="002A3AC9" w:rsidRDefault="00EC5E4D">
            <w:pPr>
              <w:rPr>
                <w:sz w:val="22"/>
                <w:szCs w:val="22"/>
                <w:highlight w:val="yellow"/>
              </w:rPr>
            </w:pPr>
            <w:r>
              <w:rPr>
                <w:color w:val="000000"/>
                <w:sz w:val="22"/>
                <w:szCs w:val="22"/>
              </w:rPr>
              <w:t>agranulocytosis, thrombocytopenia</w:t>
            </w:r>
          </w:p>
        </w:tc>
      </w:tr>
      <w:tr w:rsidR="002A3AC9" w14:paraId="550D8C24" w14:textId="77777777">
        <w:trPr>
          <w:trHeight w:val="37"/>
        </w:trPr>
        <w:tc>
          <w:tcPr>
            <w:tcW w:w="2188" w:type="dxa"/>
          </w:tcPr>
          <w:p w14:paraId="64C1DAC2" w14:textId="77777777" w:rsidR="002A3AC9" w:rsidRDefault="00EC5E4D">
            <w:pPr>
              <w:rPr>
                <w:color w:val="000000"/>
                <w:sz w:val="22"/>
                <w:szCs w:val="22"/>
              </w:rPr>
            </w:pPr>
            <w:r>
              <w:rPr>
                <w:color w:val="000000"/>
                <w:sz w:val="22"/>
                <w:szCs w:val="22"/>
              </w:rPr>
              <w:t>Immunrendszeri betegségek és tünetek</w:t>
            </w:r>
            <w:r>
              <w:rPr>
                <w:color w:val="000000"/>
                <w:sz w:val="22"/>
                <w:szCs w:val="22"/>
                <w:vertAlign w:val="superscript"/>
              </w:rPr>
              <w:t>4</w:t>
            </w:r>
          </w:p>
        </w:tc>
        <w:tc>
          <w:tcPr>
            <w:tcW w:w="2189" w:type="dxa"/>
          </w:tcPr>
          <w:p w14:paraId="7BF2365D" w14:textId="77777777" w:rsidR="002A3AC9" w:rsidRDefault="002A3AC9">
            <w:pPr>
              <w:keepNext/>
              <w:rPr>
                <w:sz w:val="22"/>
                <w:szCs w:val="22"/>
              </w:rPr>
            </w:pPr>
          </w:p>
        </w:tc>
        <w:tc>
          <w:tcPr>
            <w:tcW w:w="2189" w:type="dxa"/>
          </w:tcPr>
          <w:p w14:paraId="161C9196" w14:textId="77777777" w:rsidR="002A3AC9" w:rsidRDefault="00EC5E4D">
            <w:pPr>
              <w:keepNext/>
              <w:rPr>
                <w:color w:val="000000"/>
                <w:sz w:val="22"/>
                <w:szCs w:val="22"/>
              </w:rPr>
            </w:pPr>
            <w:r>
              <w:rPr>
                <w:color w:val="000000"/>
                <w:sz w:val="22"/>
                <w:szCs w:val="22"/>
              </w:rPr>
              <w:t>túlérzékenység</w:t>
            </w:r>
          </w:p>
        </w:tc>
        <w:tc>
          <w:tcPr>
            <w:tcW w:w="2189" w:type="dxa"/>
          </w:tcPr>
          <w:p w14:paraId="6109EE73" w14:textId="77777777" w:rsidR="002A3AC9" w:rsidRDefault="00EC5E4D">
            <w:pPr>
              <w:keepNext/>
              <w:rPr>
                <w:sz w:val="22"/>
                <w:szCs w:val="22"/>
              </w:rPr>
            </w:pPr>
            <w:r>
              <w:rPr>
                <w:color w:val="000000"/>
                <w:sz w:val="22"/>
                <w:szCs w:val="22"/>
              </w:rPr>
              <w:t>anafilaxiás reakció, angiooedema</w:t>
            </w:r>
          </w:p>
        </w:tc>
      </w:tr>
      <w:tr w:rsidR="002A3AC9" w14:paraId="0B9E12A0" w14:textId="77777777">
        <w:trPr>
          <w:trHeight w:val="37"/>
        </w:trPr>
        <w:tc>
          <w:tcPr>
            <w:tcW w:w="2188" w:type="dxa"/>
          </w:tcPr>
          <w:p w14:paraId="03C61D2B" w14:textId="77777777" w:rsidR="002A3AC9" w:rsidRDefault="00EC5E4D">
            <w:pPr>
              <w:rPr>
                <w:color w:val="000000"/>
                <w:sz w:val="22"/>
                <w:szCs w:val="22"/>
              </w:rPr>
            </w:pPr>
            <w:r>
              <w:rPr>
                <w:color w:val="000000"/>
                <w:sz w:val="22"/>
                <w:szCs w:val="22"/>
              </w:rPr>
              <w:t>Anyagcsere- és táplálkozási betegségek és tünetek</w:t>
            </w:r>
          </w:p>
        </w:tc>
        <w:tc>
          <w:tcPr>
            <w:tcW w:w="2189" w:type="dxa"/>
          </w:tcPr>
          <w:p w14:paraId="6259B729" w14:textId="77777777" w:rsidR="002A3AC9" w:rsidRDefault="002A3AC9">
            <w:pPr>
              <w:keepNext/>
              <w:rPr>
                <w:sz w:val="22"/>
                <w:szCs w:val="22"/>
              </w:rPr>
            </w:pPr>
          </w:p>
        </w:tc>
        <w:tc>
          <w:tcPr>
            <w:tcW w:w="2189" w:type="dxa"/>
          </w:tcPr>
          <w:p w14:paraId="26D4971B" w14:textId="77777777" w:rsidR="002A3AC9" w:rsidRDefault="00EC5E4D">
            <w:pPr>
              <w:keepNext/>
              <w:rPr>
                <w:color w:val="000000"/>
                <w:sz w:val="22"/>
                <w:szCs w:val="22"/>
              </w:rPr>
            </w:pPr>
            <w:r>
              <w:rPr>
                <w:color w:val="000000"/>
                <w:sz w:val="22"/>
                <w:szCs w:val="22"/>
              </w:rPr>
              <w:t>étvágytalanság, étvágycsökkenés</w:t>
            </w:r>
          </w:p>
        </w:tc>
        <w:tc>
          <w:tcPr>
            <w:tcW w:w="2189" w:type="dxa"/>
          </w:tcPr>
          <w:p w14:paraId="44B5C046" w14:textId="77777777" w:rsidR="002A3AC9" w:rsidRDefault="002A3AC9">
            <w:pPr>
              <w:rPr>
                <w:sz w:val="22"/>
                <w:szCs w:val="22"/>
              </w:rPr>
            </w:pPr>
          </w:p>
        </w:tc>
      </w:tr>
      <w:tr w:rsidR="002A3AC9" w14:paraId="04EFF7B0" w14:textId="77777777">
        <w:trPr>
          <w:trHeight w:val="37"/>
        </w:trPr>
        <w:tc>
          <w:tcPr>
            <w:tcW w:w="2188" w:type="dxa"/>
          </w:tcPr>
          <w:p w14:paraId="4A3D4BC2" w14:textId="77777777" w:rsidR="002A3AC9" w:rsidRDefault="00EC5E4D">
            <w:pPr>
              <w:rPr>
                <w:color w:val="000000"/>
                <w:sz w:val="22"/>
                <w:szCs w:val="22"/>
              </w:rPr>
            </w:pPr>
            <w:r>
              <w:rPr>
                <w:sz w:val="22"/>
                <w:szCs w:val="22"/>
              </w:rPr>
              <w:t>Pszichiátriai kórképek</w:t>
            </w:r>
          </w:p>
        </w:tc>
        <w:tc>
          <w:tcPr>
            <w:tcW w:w="2189" w:type="dxa"/>
          </w:tcPr>
          <w:p w14:paraId="2C901DD4" w14:textId="77777777" w:rsidR="002A3AC9" w:rsidRDefault="00EC5E4D">
            <w:pPr>
              <w:keepNext/>
              <w:rPr>
                <w:sz w:val="22"/>
                <w:szCs w:val="22"/>
              </w:rPr>
            </w:pPr>
            <w:r>
              <w:rPr>
                <w:color w:val="000000"/>
                <w:sz w:val="22"/>
                <w:szCs w:val="22"/>
              </w:rPr>
              <w:t>álmatlanság</w:t>
            </w:r>
          </w:p>
        </w:tc>
        <w:tc>
          <w:tcPr>
            <w:tcW w:w="2189" w:type="dxa"/>
          </w:tcPr>
          <w:p w14:paraId="2FD52B61" w14:textId="77777777" w:rsidR="002A3AC9" w:rsidRDefault="00EC5E4D">
            <w:pPr>
              <w:keepNext/>
              <w:rPr>
                <w:color w:val="000000"/>
                <w:sz w:val="22"/>
                <w:szCs w:val="22"/>
              </w:rPr>
            </w:pPr>
            <w:r>
              <w:rPr>
                <w:sz w:val="22"/>
                <w:szCs w:val="22"/>
              </w:rPr>
              <w:t>szorongás</w:t>
            </w:r>
            <w:r>
              <w:rPr>
                <w:color w:val="000000"/>
                <w:sz w:val="22"/>
                <w:szCs w:val="22"/>
              </w:rPr>
              <w:t>, izgatottság</w:t>
            </w:r>
            <w:r>
              <w:rPr>
                <w:color w:val="000000"/>
                <w:sz w:val="22"/>
                <w:szCs w:val="22"/>
                <w:vertAlign w:val="superscript"/>
              </w:rPr>
              <w:t>2</w:t>
            </w:r>
          </w:p>
        </w:tc>
        <w:tc>
          <w:tcPr>
            <w:tcW w:w="2189" w:type="dxa"/>
          </w:tcPr>
          <w:p w14:paraId="1FEDE828" w14:textId="77777777" w:rsidR="002A3AC9" w:rsidRDefault="00EC5E4D">
            <w:pPr>
              <w:keepNext/>
              <w:rPr>
                <w:sz w:val="22"/>
                <w:szCs w:val="22"/>
              </w:rPr>
            </w:pPr>
            <w:r>
              <w:rPr>
                <w:sz w:val="22"/>
                <w:szCs w:val="22"/>
              </w:rPr>
              <w:t>pszichózis, zavartság, deperszonalizáció, depresszió, dezorientáció, hallucinációk, rendellenes álmok, mánia</w:t>
            </w:r>
          </w:p>
        </w:tc>
      </w:tr>
      <w:tr w:rsidR="002A3AC9" w14:paraId="5619C6C1" w14:textId="77777777">
        <w:trPr>
          <w:trHeight w:val="37"/>
        </w:trPr>
        <w:tc>
          <w:tcPr>
            <w:tcW w:w="2188" w:type="dxa"/>
          </w:tcPr>
          <w:p w14:paraId="04FDD469" w14:textId="77777777" w:rsidR="002A3AC9" w:rsidRDefault="00EC5E4D">
            <w:pPr>
              <w:rPr>
                <w:color w:val="000000"/>
                <w:sz w:val="22"/>
                <w:szCs w:val="22"/>
              </w:rPr>
            </w:pPr>
            <w:r>
              <w:rPr>
                <w:sz w:val="22"/>
                <w:szCs w:val="22"/>
              </w:rPr>
              <w:t>Idegrendszeri betegségek és tünetek</w:t>
            </w:r>
          </w:p>
        </w:tc>
        <w:tc>
          <w:tcPr>
            <w:tcW w:w="2189" w:type="dxa"/>
          </w:tcPr>
          <w:p w14:paraId="18CA7FD6" w14:textId="77777777" w:rsidR="002A3AC9" w:rsidRDefault="00EC5E4D">
            <w:pPr>
              <w:rPr>
                <w:color w:val="000000"/>
                <w:sz w:val="22"/>
                <w:szCs w:val="22"/>
              </w:rPr>
            </w:pPr>
            <w:r>
              <w:rPr>
                <w:sz w:val="22"/>
                <w:szCs w:val="22"/>
              </w:rPr>
              <w:t>ízérzés zavarai, fejfájás</w:t>
            </w:r>
          </w:p>
        </w:tc>
        <w:tc>
          <w:tcPr>
            <w:tcW w:w="2189" w:type="dxa"/>
          </w:tcPr>
          <w:p w14:paraId="2B96F75B" w14:textId="77777777" w:rsidR="002A3AC9" w:rsidRDefault="00EC5E4D">
            <w:pPr>
              <w:rPr>
                <w:color w:val="000000"/>
                <w:sz w:val="22"/>
                <w:szCs w:val="22"/>
              </w:rPr>
            </w:pPr>
            <w:r>
              <w:rPr>
                <w:color w:val="000000"/>
                <w:sz w:val="22"/>
                <w:szCs w:val="22"/>
              </w:rPr>
              <w:t>szédülés, aluszékonyság</w:t>
            </w:r>
            <w:r>
              <w:rPr>
                <w:color w:val="000000"/>
                <w:sz w:val="22"/>
                <w:szCs w:val="22"/>
                <w:vertAlign w:val="superscript"/>
              </w:rPr>
              <w:t>5</w:t>
            </w:r>
            <w:r>
              <w:rPr>
                <w:color w:val="000000"/>
                <w:sz w:val="22"/>
                <w:szCs w:val="22"/>
              </w:rPr>
              <w:t>, tremor</w:t>
            </w:r>
          </w:p>
        </w:tc>
        <w:tc>
          <w:tcPr>
            <w:tcW w:w="2189" w:type="dxa"/>
          </w:tcPr>
          <w:p w14:paraId="599C23E4" w14:textId="77777777" w:rsidR="002A3AC9" w:rsidRDefault="00EC5E4D">
            <w:pPr>
              <w:rPr>
                <w:sz w:val="22"/>
                <w:szCs w:val="22"/>
              </w:rPr>
            </w:pPr>
            <w:r>
              <w:rPr>
                <w:color w:val="000000"/>
                <w:sz w:val="22"/>
                <w:szCs w:val="22"/>
              </w:rPr>
              <w:t>görcsroham, az ízérzés hiánya, parosmia, anosmia, paraesthesia</w:t>
            </w:r>
          </w:p>
        </w:tc>
      </w:tr>
      <w:tr w:rsidR="002A3AC9" w14:paraId="4D58F477" w14:textId="77777777">
        <w:trPr>
          <w:trHeight w:val="37"/>
        </w:trPr>
        <w:tc>
          <w:tcPr>
            <w:tcW w:w="2188" w:type="dxa"/>
          </w:tcPr>
          <w:p w14:paraId="35EACDA7" w14:textId="77777777" w:rsidR="002A3AC9" w:rsidRDefault="00EC5E4D">
            <w:pPr>
              <w:pStyle w:val="Cmsor6"/>
              <w:spacing w:before="0" w:after="0"/>
              <w:rPr>
                <w:rFonts w:ascii="Times New Roman" w:hAnsi="Times New Roman"/>
                <w:b w:val="0"/>
                <w:u w:val="single"/>
              </w:rPr>
            </w:pPr>
            <w:r>
              <w:rPr>
                <w:rFonts w:ascii="Times New Roman" w:hAnsi="Times New Roman"/>
                <w:b w:val="0"/>
              </w:rPr>
              <w:t>A fül és az egyensúly-érzékelő szerv betegségei és tünetei</w:t>
            </w:r>
          </w:p>
        </w:tc>
        <w:tc>
          <w:tcPr>
            <w:tcW w:w="2189" w:type="dxa"/>
          </w:tcPr>
          <w:p w14:paraId="0BE05CF5" w14:textId="77777777" w:rsidR="002A3AC9" w:rsidRDefault="002A3AC9">
            <w:pPr>
              <w:rPr>
                <w:sz w:val="22"/>
                <w:szCs w:val="22"/>
              </w:rPr>
            </w:pPr>
          </w:p>
        </w:tc>
        <w:tc>
          <w:tcPr>
            <w:tcW w:w="2189" w:type="dxa"/>
          </w:tcPr>
          <w:p w14:paraId="395ADBF3" w14:textId="77777777" w:rsidR="002A3AC9" w:rsidRDefault="00EC5E4D">
            <w:pPr>
              <w:rPr>
                <w:color w:val="000000"/>
                <w:sz w:val="22"/>
                <w:szCs w:val="22"/>
              </w:rPr>
            </w:pPr>
            <w:r>
              <w:rPr>
                <w:color w:val="000000"/>
                <w:sz w:val="22"/>
                <w:szCs w:val="22"/>
              </w:rPr>
              <w:t>vertigo, halláskárosodás, fülzúgás</w:t>
            </w:r>
          </w:p>
        </w:tc>
        <w:tc>
          <w:tcPr>
            <w:tcW w:w="2189" w:type="dxa"/>
          </w:tcPr>
          <w:p w14:paraId="6DB4D4EA" w14:textId="77777777" w:rsidR="002A3AC9" w:rsidRDefault="00EC5E4D">
            <w:pPr>
              <w:rPr>
                <w:sz w:val="22"/>
                <w:szCs w:val="22"/>
              </w:rPr>
            </w:pPr>
            <w:r>
              <w:rPr>
                <w:color w:val="000000"/>
                <w:sz w:val="22"/>
                <w:szCs w:val="22"/>
              </w:rPr>
              <w:t>süketség</w:t>
            </w:r>
          </w:p>
        </w:tc>
      </w:tr>
      <w:tr w:rsidR="002A3AC9" w14:paraId="7BD0987D" w14:textId="77777777">
        <w:trPr>
          <w:trHeight w:val="37"/>
        </w:trPr>
        <w:tc>
          <w:tcPr>
            <w:tcW w:w="2188" w:type="dxa"/>
          </w:tcPr>
          <w:p w14:paraId="68A762F4" w14:textId="77777777" w:rsidR="002A3AC9" w:rsidRDefault="00EC5E4D">
            <w:pPr>
              <w:tabs>
                <w:tab w:val="left" w:pos="142"/>
              </w:tabs>
              <w:rPr>
                <w:sz w:val="22"/>
                <w:szCs w:val="22"/>
              </w:rPr>
            </w:pPr>
            <w:r>
              <w:rPr>
                <w:sz w:val="22"/>
                <w:szCs w:val="22"/>
              </w:rPr>
              <w:t>Szívbetegségek és a szívvel kapcsolatos tünetek</w:t>
            </w:r>
          </w:p>
        </w:tc>
        <w:tc>
          <w:tcPr>
            <w:tcW w:w="2189" w:type="dxa"/>
          </w:tcPr>
          <w:p w14:paraId="788C0FCA" w14:textId="77777777" w:rsidR="002A3AC9" w:rsidRDefault="002A3AC9">
            <w:pPr>
              <w:rPr>
                <w:sz w:val="22"/>
                <w:szCs w:val="22"/>
              </w:rPr>
            </w:pPr>
          </w:p>
        </w:tc>
        <w:tc>
          <w:tcPr>
            <w:tcW w:w="2189" w:type="dxa"/>
          </w:tcPr>
          <w:p w14:paraId="3046C0D4" w14:textId="77777777" w:rsidR="002A3AC9" w:rsidRDefault="00EC5E4D">
            <w:pPr>
              <w:rPr>
                <w:color w:val="000000"/>
                <w:sz w:val="22"/>
                <w:szCs w:val="22"/>
              </w:rPr>
            </w:pPr>
            <w:r>
              <w:rPr>
                <w:sz w:val="22"/>
                <w:szCs w:val="22"/>
              </w:rPr>
              <w:t>QT-szakasz megnyúlása az EKG</w:t>
            </w:r>
            <w:r>
              <w:rPr>
                <w:sz w:val="22"/>
                <w:szCs w:val="22"/>
              </w:rPr>
              <w:noBreakHyphen/>
              <w:t>n</w:t>
            </w:r>
            <w:r>
              <w:rPr>
                <w:color w:val="000000"/>
                <w:sz w:val="22"/>
                <w:szCs w:val="22"/>
                <w:vertAlign w:val="superscript"/>
              </w:rPr>
              <w:t>6</w:t>
            </w:r>
            <w:r>
              <w:rPr>
                <w:sz w:val="22"/>
                <w:szCs w:val="22"/>
              </w:rPr>
              <w:t>, palpitatio</w:t>
            </w:r>
          </w:p>
        </w:tc>
        <w:tc>
          <w:tcPr>
            <w:tcW w:w="2189" w:type="dxa"/>
          </w:tcPr>
          <w:p w14:paraId="25605604" w14:textId="77777777" w:rsidR="002A3AC9" w:rsidRDefault="00EC5E4D">
            <w:pPr>
              <w:rPr>
                <w:sz w:val="22"/>
                <w:szCs w:val="22"/>
              </w:rPr>
            </w:pPr>
            <w:r>
              <w:rPr>
                <w:i/>
                <w:color w:val="000000"/>
                <w:sz w:val="22"/>
                <w:szCs w:val="22"/>
              </w:rPr>
              <w:t>torsade de pointes</w:t>
            </w:r>
            <w:r>
              <w:rPr>
                <w:color w:val="000000"/>
                <w:sz w:val="22"/>
                <w:szCs w:val="22"/>
                <w:vertAlign w:val="superscript"/>
              </w:rPr>
              <w:t>7</w:t>
            </w:r>
            <w:r>
              <w:rPr>
                <w:color w:val="000000"/>
                <w:sz w:val="22"/>
                <w:szCs w:val="22"/>
              </w:rPr>
              <w:t>, kamrai tachycardia, kamrafibrilláció</w:t>
            </w:r>
            <w:r>
              <w:rPr>
                <w:color w:val="000000"/>
                <w:sz w:val="22"/>
                <w:szCs w:val="22"/>
                <w:vertAlign w:val="superscript"/>
              </w:rPr>
              <w:t>7</w:t>
            </w:r>
          </w:p>
        </w:tc>
      </w:tr>
      <w:tr w:rsidR="002A3AC9" w14:paraId="32D0F99C" w14:textId="77777777">
        <w:trPr>
          <w:trHeight w:val="37"/>
        </w:trPr>
        <w:tc>
          <w:tcPr>
            <w:tcW w:w="2188" w:type="dxa"/>
          </w:tcPr>
          <w:p w14:paraId="0C76E6BA" w14:textId="77777777" w:rsidR="002A3AC9" w:rsidRDefault="00EC5E4D">
            <w:pPr>
              <w:rPr>
                <w:color w:val="000000"/>
                <w:sz w:val="22"/>
                <w:szCs w:val="22"/>
              </w:rPr>
            </w:pPr>
            <w:r>
              <w:rPr>
                <w:color w:val="000000"/>
                <w:sz w:val="22"/>
                <w:szCs w:val="22"/>
              </w:rPr>
              <w:t>Érbetegségek és tünetek</w:t>
            </w:r>
          </w:p>
        </w:tc>
        <w:tc>
          <w:tcPr>
            <w:tcW w:w="2189" w:type="dxa"/>
          </w:tcPr>
          <w:p w14:paraId="487E3607" w14:textId="77777777" w:rsidR="002A3AC9" w:rsidRDefault="002A3AC9">
            <w:pPr>
              <w:rPr>
                <w:color w:val="000000"/>
                <w:sz w:val="22"/>
                <w:szCs w:val="22"/>
              </w:rPr>
            </w:pPr>
          </w:p>
        </w:tc>
        <w:tc>
          <w:tcPr>
            <w:tcW w:w="2189" w:type="dxa"/>
          </w:tcPr>
          <w:p w14:paraId="2CEB76D2" w14:textId="77777777" w:rsidR="002A3AC9" w:rsidRDefault="002A3AC9">
            <w:pPr>
              <w:rPr>
                <w:sz w:val="22"/>
                <w:szCs w:val="22"/>
              </w:rPr>
            </w:pPr>
          </w:p>
        </w:tc>
        <w:tc>
          <w:tcPr>
            <w:tcW w:w="2189" w:type="dxa"/>
          </w:tcPr>
          <w:p w14:paraId="603A2CAE" w14:textId="77777777" w:rsidR="002A3AC9" w:rsidRDefault="00EC5E4D">
            <w:pPr>
              <w:rPr>
                <w:sz w:val="22"/>
                <w:szCs w:val="22"/>
              </w:rPr>
            </w:pPr>
            <w:r>
              <w:rPr>
                <w:color w:val="000000"/>
                <w:sz w:val="22"/>
                <w:szCs w:val="22"/>
              </w:rPr>
              <w:t>vérzés</w:t>
            </w:r>
            <w:r>
              <w:rPr>
                <w:color w:val="000000"/>
                <w:sz w:val="22"/>
                <w:szCs w:val="22"/>
                <w:vertAlign w:val="superscript"/>
              </w:rPr>
              <w:t>7</w:t>
            </w:r>
          </w:p>
        </w:tc>
      </w:tr>
      <w:tr w:rsidR="002A3AC9" w14:paraId="0807045E" w14:textId="77777777">
        <w:trPr>
          <w:trHeight w:val="37"/>
        </w:trPr>
        <w:tc>
          <w:tcPr>
            <w:tcW w:w="2188" w:type="dxa"/>
          </w:tcPr>
          <w:p w14:paraId="1604ACD1" w14:textId="77777777" w:rsidR="002A3AC9" w:rsidRDefault="00EC5E4D">
            <w:pPr>
              <w:rPr>
                <w:color w:val="000000"/>
                <w:sz w:val="22"/>
                <w:szCs w:val="22"/>
              </w:rPr>
            </w:pPr>
            <w:r>
              <w:rPr>
                <w:color w:val="000000"/>
                <w:sz w:val="22"/>
                <w:szCs w:val="22"/>
              </w:rPr>
              <w:t>Légzőrendszeri, mellkasi és mediastinalis betegségek és tünetek</w:t>
            </w:r>
          </w:p>
        </w:tc>
        <w:tc>
          <w:tcPr>
            <w:tcW w:w="2189" w:type="dxa"/>
          </w:tcPr>
          <w:p w14:paraId="4C668AEB" w14:textId="77777777" w:rsidR="002A3AC9" w:rsidRDefault="002A3AC9">
            <w:pPr>
              <w:rPr>
                <w:sz w:val="22"/>
                <w:szCs w:val="22"/>
              </w:rPr>
            </w:pPr>
          </w:p>
        </w:tc>
        <w:tc>
          <w:tcPr>
            <w:tcW w:w="2189" w:type="dxa"/>
          </w:tcPr>
          <w:p w14:paraId="14EC2DAB" w14:textId="77777777" w:rsidR="002A3AC9" w:rsidRDefault="00EC5E4D">
            <w:pPr>
              <w:rPr>
                <w:sz w:val="22"/>
                <w:szCs w:val="22"/>
              </w:rPr>
            </w:pPr>
            <w:r>
              <w:rPr>
                <w:color w:val="000000"/>
                <w:sz w:val="22"/>
                <w:szCs w:val="22"/>
              </w:rPr>
              <w:t>orrvérzés</w:t>
            </w:r>
            <w:r>
              <w:rPr>
                <w:color w:val="000000"/>
                <w:sz w:val="22"/>
                <w:szCs w:val="22"/>
                <w:vertAlign w:val="superscript"/>
              </w:rPr>
              <w:t>1</w:t>
            </w:r>
          </w:p>
        </w:tc>
        <w:tc>
          <w:tcPr>
            <w:tcW w:w="2189" w:type="dxa"/>
          </w:tcPr>
          <w:p w14:paraId="43A0B9DC" w14:textId="77777777" w:rsidR="002A3AC9" w:rsidRDefault="002A3AC9">
            <w:pPr>
              <w:rPr>
                <w:sz w:val="22"/>
                <w:szCs w:val="22"/>
              </w:rPr>
            </w:pPr>
          </w:p>
        </w:tc>
      </w:tr>
      <w:tr w:rsidR="002A3AC9" w14:paraId="03960E88" w14:textId="77777777">
        <w:trPr>
          <w:trHeight w:val="37"/>
        </w:trPr>
        <w:tc>
          <w:tcPr>
            <w:tcW w:w="2188" w:type="dxa"/>
          </w:tcPr>
          <w:p w14:paraId="103F3CA7" w14:textId="77777777" w:rsidR="002A3AC9" w:rsidRDefault="00EC5E4D">
            <w:pPr>
              <w:keepNext/>
              <w:tabs>
                <w:tab w:val="left" w:pos="142"/>
              </w:tabs>
              <w:rPr>
                <w:sz w:val="22"/>
                <w:szCs w:val="22"/>
              </w:rPr>
            </w:pPr>
            <w:r>
              <w:rPr>
                <w:sz w:val="22"/>
                <w:szCs w:val="22"/>
              </w:rPr>
              <w:t>Emésztőrendszeri betegségek és tünetek</w:t>
            </w:r>
          </w:p>
        </w:tc>
        <w:tc>
          <w:tcPr>
            <w:tcW w:w="2189" w:type="dxa"/>
          </w:tcPr>
          <w:p w14:paraId="6506967A" w14:textId="77777777" w:rsidR="002A3AC9" w:rsidRDefault="00EC5E4D">
            <w:pPr>
              <w:keepNext/>
              <w:rPr>
                <w:color w:val="000000"/>
                <w:sz w:val="22"/>
                <w:szCs w:val="22"/>
              </w:rPr>
            </w:pPr>
            <w:r>
              <w:rPr>
                <w:color w:val="000000"/>
                <w:sz w:val="22"/>
                <w:szCs w:val="22"/>
              </w:rPr>
              <w:t>hasmenés</w:t>
            </w:r>
            <w:r>
              <w:rPr>
                <w:color w:val="000000"/>
                <w:sz w:val="22"/>
                <w:szCs w:val="22"/>
                <w:vertAlign w:val="superscript"/>
              </w:rPr>
              <w:t>8</w:t>
            </w:r>
            <w:r>
              <w:rPr>
                <w:color w:val="000000"/>
                <w:sz w:val="22"/>
                <w:szCs w:val="22"/>
              </w:rPr>
              <w:t>, hányás, dyspepsia, hányinger, hasi fájdalom</w:t>
            </w:r>
          </w:p>
        </w:tc>
        <w:tc>
          <w:tcPr>
            <w:tcW w:w="2189" w:type="dxa"/>
          </w:tcPr>
          <w:p w14:paraId="48C7AEEC" w14:textId="77777777" w:rsidR="002A3AC9" w:rsidRDefault="00EC5E4D">
            <w:pPr>
              <w:keepNext/>
              <w:rPr>
                <w:color w:val="000000"/>
                <w:sz w:val="22"/>
                <w:szCs w:val="22"/>
              </w:rPr>
            </w:pPr>
            <w:r>
              <w:rPr>
                <w:color w:val="000000"/>
                <w:sz w:val="22"/>
                <w:szCs w:val="22"/>
              </w:rPr>
              <w:t>gastro-oesophagealis reflux betegség</w:t>
            </w:r>
            <w:r>
              <w:rPr>
                <w:color w:val="000000"/>
                <w:sz w:val="22"/>
                <w:szCs w:val="22"/>
                <w:vertAlign w:val="superscript"/>
              </w:rPr>
              <w:t>1</w:t>
            </w:r>
            <w:r>
              <w:rPr>
                <w:color w:val="000000"/>
                <w:sz w:val="22"/>
                <w:szCs w:val="22"/>
              </w:rPr>
              <w:t>, gastritis, végbélgyulladás</w:t>
            </w:r>
            <w:r>
              <w:rPr>
                <w:color w:val="000000"/>
                <w:sz w:val="22"/>
                <w:szCs w:val="22"/>
                <w:vertAlign w:val="superscript"/>
              </w:rPr>
              <w:t>1</w:t>
            </w:r>
            <w:r>
              <w:rPr>
                <w:color w:val="000000"/>
                <w:sz w:val="22"/>
                <w:szCs w:val="22"/>
              </w:rPr>
              <w:t>, stomatitis, glossitis, haspuffadás</w:t>
            </w:r>
            <w:r>
              <w:rPr>
                <w:color w:val="000000"/>
                <w:sz w:val="22"/>
                <w:szCs w:val="22"/>
                <w:vertAlign w:val="superscript"/>
              </w:rPr>
              <w:t>3</w:t>
            </w:r>
            <w:r>
              <w:rPr>
                <w:color w:val="000000"/>
                <w:sz w:val="22"/>
                <w:szCs w:val="22"/>
              </w:rPr>
              <w:t>, székrekedés, szájszárazság, böfögés, flatulentia</w:t>
            </w:r>
          </w:p>
        </w:tc>
        <w:tc>
          <w:tcPr>
            <w:tcW w:w="2189" w:type="dxa"/>
          </w:tcPr>
          <w:p w14:paraId="2F8E5D17" w14:textId="77777777" w:rsidR="002A3AC9" w:rsidRDefault="00EC5E4D">
            <w:pPr>
              <w:keepNext/>
              <w:rPr>
                <w:sz w:val="22"/>
                <w:szCs w:val="22"/>
              </w:rPr>
            </w:pPr>
            <w:r>
              <w:rPr>
                <w:color w:val="000000"/>
                <w:sz w:val="22"/>
                <w:szCs w:val="22"/>
              </w:rPr>
              <w:t>akut pancreatitis, a nyelv elszíneződése, a fog elszíneződése</w:t>
            </w:r>
          </w:p>
        </w:tc>
      </w:tr>
      <w:tr w:rsidR="002A3AC9" w14:paraId="554D099F" w14:textId="77777777">
        <w:trPr>
          <w:trHeight w:val="37"/>
        </w:trPr>
        <w:tc>
          <w:tcPr>
            <w:tcW w:w="2188" w:type="dxa"/>
          </w:tcPr>
          <w:p w14:paraId="2EB81C59" w14:textId="77777777" w:rsidR="002A3AC9" w:rsidRDefault="00EC5E4D">
            <w:pPr>
              <w:keepNext/>
              <w:rPr>
                <w:color w:val="000000"/>
                <w:sz w:val="22"/>
                <w:szCs w:val="22"/>
              </w:rPr>
            </w:pPr>
            <w:r>
              <w:rPr>
                <w:color w:val="000000"/>
                <w:sz w:val="22"/>
                <w:szCs w:val="22"/>
              </w:rPr>
              <w:t>Máj- és epebetegségek, illetve tünetek</w:t>
            </w:r>
          </w:p>
        </w:tc>
        <w:tc>
          <w:tcPr>
            <w:tcW w:w="2189" w:type="dxa"/>
          </w:tcPr>
          <w:p w14:paraId="68244ADC" w14:textId="77777777" w:rsidR="002A3AC9" w:rsidRDefault="00EC5E4D">
            <w:pPr>
              <w:keepNext/>
              <w:rPr>
                <w:color w:val="000000"/>
                <w:sz w:val="22"/>
                <w:szCs w:val="22"/>
              </w:rPr>
            </w:pPr>
            <w:r>
              <w:rPr>
                <w:color w:val="000000"/>
                <w:sz w:val="22"/>
                <w:szCs w:val="22"/>
              </w:rPr>
              <w:t>rendellenes májfunkció teszt értékek</w:t>
            </w:r>
          </w:p>
        </w:tc>
        <w:tc>
          <w:tcPr>
            <w:tcW w:w="2189" w:type="dxa"/>
          </w:tcPr>
          <w:p w14:paraId="5358D388" w14:textId="77777777" w:rsidR="002A3AC9" w:rsidRDefault="00EC5E4D">
            <w:pPr>
              <w:keepNext/>
              <w:rPr>
                <w:color w:val="000000"/>
                <w:sz w:val="22"/>
                <w:szCs w:val="22"/>
              </w:rPr>
            </w:pPr>
            <w:r>
              <w:rPr>
                <w:color w:val="000000"/>
                <w:sz w:val="22"/>
                <w:szCs w:val="22"/>
              </w:rPr>
              <w:t>epepangás</w:t>
            </w:r>
            <w:r>
              <w:rPr>
                <w:color w:val="000000"/>
                <w:sz w:val="22"/>
                <w:szCs w:val="22"/>
                <w:vertAlign w:val="superscript"/>
              </w:rPr>
              <w:t>3</w:t>
            </w:r>
            <w:r>
              <w:rPr>
                <w:color w:val="000000"/>
                <w:sz w:val="22"/>
                <w:szCs w:val="22"/>
              </w:rPr>
              <w:t>, májgyulladás</w:t>
            </w:r>
            <w:r>
              <w:rPr>
                <w:color w:val="000000"/>
                <w:sz w:val="22"/>
                <w:szCs w:val="22"/>
                <w:vertAlign w:val="superscript"/>
              </w:rPr>
              <w:t>3</w:t>
            </w:r>
            <w:r>
              <w:rPr>
                <w:color w:val="000000"/>
                <w:sz w:val="22"/>
                <w:szCs w:val="22"/>
              </w:rPr>
              <w:t>, glutamát-piruvát-transzamináz (GPT) enzim növekedés, glutamát-oxálacetát-transzamináz (GOT) enzim növekedés, gamma-glutamiltranszferáz enzim növekedés</w:t>
            </w:r>
            <w:r>
              <w:rPr>
                <w:color w:val="000000"/>
                <w:sz w:val="22"/>
                <w:szCs w:val="22"/>
                <w:vertAlign w:val="superscript"/>
              </w:rPr>
              <w:t>3</w:t>
            </w:r>
          </w:p>
        </w:tc>
        <w:tc>
          <w:tcPr>
            <w:tcW w:w="2189" w:type="dxa"/>
          </w:tcPr>
          <w:p w14:paraId="11B7DAAE" w14:textId="77777777" w:rsidR="002A3AC9" w:rsidRDefault="00EC5E4D">
            <w:pPr>
              <w:keepNext/>
              <w:rPr>
                <w:sz w:val="22"/>
                <w:szCs w:val="22"/>
              </w:rPr>
            </w:pPr>
            <w:r>
              <w:rPr>
                <w:color w:val="000000"/>
                <w:sz w:val="22"/>
                <w:szCs w:val="22"/>
              </w:rPr>
              <w:t>májelégtelenség</w:t>
            </w:r>
            <w:r>
              <w:rPr>
                <w:color w:val="000000"/>
                <w:sz w:val="22"/>
                <w:szCs w:val="22"/>
                <w:vertAlign w:val="superscript"/>
              </w:rPr>
              <w:t>9</w:t>
            </w:r>
            <w:r>
              <w:rPr>
                <w:color w:val="000000"/>
                <w:sz w:val="22"/>
                <w:szCs w:val="22"/>
              </w:rPr>
              <w:t>, hepatocellularis sárgaság</w:t>
            </w:r>
          </w:p>
        </w:tc>
      </w:tr>
      <w:tr w:rsidR="002A3AC9" w14:paraId="7E2C4089" w14:textId="77777777">
        <w:trPr>
          <w:trHeight w:val="37"/>
        </w:trPr>
        <w:tc>
          <w:tcPr>
            <w:tcW w:w="2188" w:type="dxa"/>
          </w:tcPr>
          <w:p w14:paraId="0776EC63" w14:textId="77777777" w:rsidR="002A3AC9" w:rsidRDefault="00EC5E4D">
            <w:pPr>
              <w:rPr>
                <w:noProof/>
                <w:snapToGrid w:val="0"/>
                <w:sz w:val="22"/>
                <w:szCs w:val="22"/>
              </w:rPr>
            </w:pPr>
            <w:r>
              <w:rPr>
                <w:sz w:val="22"/>
                <w:szCs w:val="22"/>
              </w:rPr>
              <w:t>A bőr és a bőr alatti szövet betegségei és tünetei</w:t>
            </w:r>
          </w:p>
        </w:tc>
        <w:tc>
          <w:tcPr>
            <w:tcW w:w="2189" w:type="dxa"/>
          </w:tcPr>
          <w:p w14:paraId="78573A59" w14:textId="77777777" w:rsidR="002A3AC9" w:rsidRDefault="00EC5E4D">
            <w:pPr>
              <w:keepNext/>
              <w:rPr>
                <w:sz w:val="22"/>
                <w:szCs w:val="22"/>
              </w:rPr>
            </w:pPr>
            <w:r>
              <w:rPr>
                <w:color w:val="000000"/>
                <w:sz w:val="22"/>
                <w:szCs w:val="22"/>
              </w:rPr>
              <w:t>bőrkiütés, fokozott verejtékezés</w:t>
            </w:r>
          </w:p>
        </w:tc>
        <w:tc>
          <w:tcPr>
            <w:tcW w:w="2189" w:type="dxa"/>
          </w:tcPr>
          <w:p w14:paraId="456664DD" w14:textId="77777777" w:rsidR="002A3AC9" w:rsidRDefault="00EC5E4D">
            <w:pPr>
              <w:keepNext/>
              <w:rPr>
                <w:color w:val="000000"/>
                <w:sz w:val="22"/>
                <w:szCs w:val="22"/>
              </w:rPr>
            </w:pPr>
            <w:r>
              <w:rPr>
                <w:color w:val="000000"/>
                <w:sz w:val="22"/>
                <w:szCs w:val="22"/>
              </w:rPr>
              <w:t>viszketés, csalánkiütés, maculo-papulosus bőrkiütés</w:t>
            </w:r>
            <w:r>
              <w:rPr>
                <w:color w:val="000000"/>
                <w:sz w:val="22"/>
                <w:szCs w:val="22"/>
                <w:vertAlign w:val="superscript"/>
              </w:rPr>
              <w:t>2</w:t>
            </w:r>
          </w:p>
        </w:tc>
        <w:tc>
          <w:tcPr>
            <w:tcW w:w="2189" w:type="dxa"/>
          </w:tcPr>
          <w:p w14:paraId="043847EF" w14:textId="4182C25F" w:rsidR="002A3AC9" w:rsidRDefault="00EC5E4D">
            <w:pPr>
              <w:keepNext/>
              <w:rPr>
                <w:color w:val="000000"/>
                <w:sz w:val="22"/>
                <w:szCs w:val="22"/>
              </w:rPr>
            </w:pPr>
            <w:r>
              <w:rPr>
                <w:color w:val="000000"/>
                <w:sz w:val="22"/>
                <w:szCs w:val="22"/>
              </w:rPr>
              <w:t xml:space="preserve">Súlyos bőrmellékhatások (pl. akut generalizált </w:t>
            </w:r>
            <w:r>
              <w:rPr>
                <w:color w:val="000000"/>
                <w:sz w:val="22"/>
                <w:szCs w:val="22"/>
              </w:rPr>
              <w:lastRenderedPageBreak/>
              <w:t>exanthemás pustulosis (AGEP), Stevens–Johnson-szindróma</w:t>
            </w:r>
            <w:r>
              <w:rPr>
                <w:color w:val="000000"/>
                <w:sz w:val="22"/>
                <w:szCs w:val="22"/>
                <w:vertAlign w:val="superscript"/>
              </w:rPr>
              <w:t>4</w:t>
            </w:r>
            <w:r>
              <w:rPr>
                <w:color w:val="000000"/>
                <w:sz w:val="22"/>
                <w:szCs w:val="22"/>
              </w:rPr>
              <w:t>, toxi</w:t>
            </w:r>
            <w:r w:rsidR="007F4DF4">
              <w:rPr>
                <w:color w:val="000000"/>
                <w:sz w:val="22"/>
                <w:szCs w:val="22"/>
              </w:rPr>
              <w:t>c</w:t>
            </w:r>
            <w:r>
              <w:rPr>
                <w:color w:val="000000"/>
                <w:sz w:val="22"/>
                <w:szCs w:val="22"/>
              </w:rPr>
              <w:t>us epidermalis necrolysis</w:t>
            </w:r>
            <w:r>
              <w:rPr>
                <w:color w:val="000000"/>
                <w:sz w:val="22"/>
                <w:szCs w:val="22"/>
                <w:vertAlign w:val="superscript"/>
              </w:rPr>
              <w:t>4</w:t>
            </w:r>
            <w:r>
              <w:rPr>
                <w:color w:val="000000"/>
                <w:sz w:val="22"/>
                <w:szCs w:val="22"/>
              </w:rPr>
              <w:t>, gyógyszerkiütés eosinophiliával és szisztémás tünetekkel (DRESS), acne</w:t>
            </w:r>
          </w:p>
        </w:tc>
      </w:tr>
      <w:tr w:rsidR="002A3AC9" w14:paraId="7A041717" w14:textId="77777777">
        <w:trPr>
          <w:trHeight w:val="37"/>
        </w:trPr>
        <w:tc>
          <w:tcPr>
            <w:tcW w:w="2188" w:type="dxa"/>
          </w:tcPr>
          <w:p w14:paraId="02B4C820" w14:textId="77777777" w:rsidR="002A3AC9" w:rsidRDefault="00EC5E4D">
            <w:pPr>
              <w:rPr>
                <w:color w:val="000000"/>
                <w:sz w:val="22"/>
                <w:szCs w:val="22"/>
              </w:rPr>
            </w:pPr>
            <w:r>
              <w:rPr>
                <w:color w:val="000000"/>
                <w:sz w:val="22"/>
                <w:szCs w:val="22"/>
              </w:rPr>
              <w:lastRenderedPageBreak/>
              <w:t>A csont- és izomrendszer, valamint a kötőszövet betegségei és tünetei</w:t>
            </w:r>
          </w:p>
        </w:tc>
        <w:tc>
          <w:tcPr>
            <w:tcW w:w="2189" w:type="dxa"/>
          </w:tcPr>
          <w:p w14:paraId="6C6E2CF1" w14:textId="77777777" w:rsidR="002A3AC9" w:rsidRDefault="002A3AC9">
            <w:pPr>
              <w:keepNext/>
              <w:rPr>
                <w:sz w:val="22"/>
                <w:szCs w:val="22"/>
              </w:rPr>
            </w:pPr>
          </w:p>
        </w:tc>
        <w:tc>
          <w:tcPr>
            <w:tcW w:w="2189" w:type="dxa"/>
          </w:tcPr>
          <w:p w14:paraId="59BF1808" w14:textId="77777777" w:rsidR="002A3AC9" w:rsidRDefault="00EC5E4D">
            <w:pPr>
              <w:keepNext/>
              <w:rPr>
                <w:color w:val="000000"/>
                <w:sz w:val="22"/>
                <w:szCs w:val="22"/>
              </w:rPr>
            </w:pPr>
            <w:r>
              <w:rPr>
                <w:color w:val="000000"/>
                <w:sz w:val="22"/>
                <w:szCs w:val="22"/>
              </w:rPr>
              <w:t>izomgörcsök</w:t>
            </w:r>
            <w:r>
              <w:rPr>
                <w:color w:val="000000"/>
                <w:sz w:val="22"/>
                <w:szCs w:val="22"/>
                <w:vertAlign w:val="superscript"/>
              </w:rPr>
              <w:t>2</w:t>
            </w:r>
            <w:r>
              <w:rPr>
                <w:color w:val="000000"/>
                <w:sz w:val="22"/>
                <w:szCs w:val="22"/>
              </w:rPr>
              <w:t>, izomfájdalom</w:t>
            </w:r>
            <w:r>
              <w:rPr>
                <w:color w:val="000000"/>
                <w:sz w:val="22"/>
                <w:szCs w:val="22"/>
                <w:vertAlign w:val="superscript"/>
              </w:rPr>
              <w:t>1</w:t>
            </w:r>
          </w:p>
        </w:tc>
        <w:tc>
          <w:tcPr>
            <w:tcW w:w="2189" w:type="dxa"/>
          </w:tcPr>
          <w:p w14:paraId="1309CCD7" w14:textId="77777777" w:rsidR="002A3AC9" w:rsidRDefault="00EC5E4D">
            <w:pPr>
              <w:keepNext/>
              <w:rPr>
                <w:sz w:val="22"/>
                <w:szCs w:val="22"/>
              </w:rPr>
            </w:pPr>
            <w:r>
              <w:rPr>
                <w:color w:val="000000"/>
                <w:sz w:val="22"/>
                <w:szCs w:val="22"/>
              </w:rPr>
              <w:t>rhabdomyolysis</w:t>
            </w:r>
            <w:r>
              <w:rPr>
                <w:color w:val="000000"/>
                <w:sz w:val="22"/>
                <w:szCs w:val="22"/>
                <w:vertAlign w:val="superscript"/>
              </w:rPr>
              <w:t>1,10</w:t>
            </w:r>
            <w:r>
              <w:rPr>
                <w:color w:val="000000"/>
                <w:sz w:val="22"/>
                <w:szCs w:val="22"/>
              </w:rPr>
              <w:t>, myopathia</w:t>
            </w:r>
          </w:p>
        </w:tc>
      </w:tr>
      <w:tr w:rsidR="002A3AC9" w14:paraId="52EACFC8" w14:textId="77777777">
        <w:trPr>
          <w:trHeight w:val="37"/>
        </w:trPr>
        <w:tc>
          <w:tcPr>
            <w:tcW w:w="2188" w:type="dxa"/>
          </w:tcPr>
          <w:p w14:paraId="09F6B609" w14:textId="77777777" w:rsidR="002A3AC9" w:rsidRDefault="00EC5E4D">
            <w:pPr>
              <w:rPr>
                <w:color w:val="000000"/>
                <w:sz w:val="22"/>
                <w:szCs w:val="22"/>
              </w:rPr>
            </w:pPr>
            <w:r>
              <w:rPr>
                <w:color w:val="000000"/>
                <w:sz w:val="22"/>
                <w:szCs w:val="22"/>
              </w:rPr>
              <w:t>Vese- és húgyúti betegségek és tünetek</w:t>
            </w:r>
          </w:p>
        </w:tc>
        <w:tc>
          <w:tcPr>
            <w:tcW w:w="2189" w:type="dxa"/>
          </w:tcPr>
          <w:p w14:paraId="58B2214E" w14:textId="77777777" w:rsidR="002A3AC9" w:rsidRDefault="002A3AC9">
            <w:pPr>
              <w:rPr>
                <w:sz w:val="22"/>
                <w:szCs w:val="22"/>
              </w:rPr>
            </w:pPr>
          </w:p>
        </w:tc>
        <w:tc>
          <w:tcPr>
            <w:tcW w:w="2189" w:type="dxa"/>
          </w:tcPr>
          <w:p w14:paraId="44B4835B" w14:textId="77777777" w:rsidR="002A3AC9" w:rsidRDefault="002A3AC9">
            <w:pPr>
              <w:rPr>
                <w:color w:val="000000"/>
                <w:sz w:val="22"/>
                <w:szCs w:val="22"/>
              </w:rPr>
            </w:pPr>
          </w:p>
        </w:tc>
        <w:tc>
          <w:tcPr>
            <w:tcW w:w="2189" w:type="dxa"/>
          </w:tcPr>
          <w:p w14:paraId="5C20019D" w14:textId="77777777" w:rsidR="002A3AC9" w:rsidRDefault="00EC5E4D">
            <w:pPr>
              <w:rPr>
                <w:sz w:val="22"/>
                <w:szCs w:val="22"/>
              </w:rPr>
            </w:pPr>
            <w:r>
              <w:rPr>
                <w:color w:val="000000"/>
                <w:sz w:val="22"/>
                <w:szCs w:val="22"/>
              </w:rPr>
              <w:t>veseelégtelenség, interstitialis nephritis</w:t>
            </w:r>
          </w:p>
        </w:tc>
      </w:tr>
      <w:tr w:rsidR="002A3AC9" w14:paraId="09D6B42C" w14:textId="77777777">
        <w:trPr>
          <w:trHeight w:val="37"/>
        </w:trPr>
        <w:tc>
          <w:tcPr>
            <w:tcW w:w="2188" w:type="dxa"/>
          </w:tcPr>
          <w:p w14:paraId="15320D24" w14:textId="77777777" w:rsidR="002A3AC9" w:rsidRDefault="00EC5E4D">
            <w:pPr>
              <w:rPr>
                <w:sz w:val="22"/>
                <w:szCs w:val="22"/>
              </w:rPr>
            </w:pPr>
            <w:r>
              <w:rPr>
                <w:sz w:val="22"/>
                <w:szCs w:val="22"/>
              </w:rPr>
              <w:t>Általános tünetek, az alkalmazás helyén fellépő reakciók</w:t>
            </w:r>
          </w:p>
        </w:tc>
        <w:tc>
          <w:tcPr>
            <w:tcW w:w="2189" w:type="dxa"/>
          </w:tcPr>
          <w:p w14:paraId="3C2EDD9E" w14:textId="77777777" w:rsidR="002A3AC9" w:rsidRDefault="002A3AC9">
            <w:pPr>
              <w:rPr>
                <w:color w:val="000000"/>
                <w:sz w:val="22"/>
                <w:szCs w:val="22"/>
              </w:rPr>
            </w:pPr>
          </w:p>
        </w:tc>
        <w:tc>
          <w:tcPr>
            <w:tcW w:w="2189" w:type="dxa"/>
          </w:tcPr>
          <w:p w14:paraId="6CF8D16F" w14:textId="77777777" w:rsidR="002A3AC9" w:rsidRDefault="00EC5E4D">
            <w:pPr>
              <w:rPr>
                <w:sz w:val="22"/>
                <w:szCs w:val="22"/>
              </w:rPr>
            </w:pPr>
            <w:r>
              <w:rPr>
                <w:color w:val="000000"/>
                <w:sz w:val="22"/>
                <w:szCs w:val="22"/>
              </w:rPr>
              <w:t>rossz közérzet</w:t>
            </w:r>
            <w:r>
              <w:rPr>
                <w:color w:val="000000"/>
                <w:sz w:val="22"/>
                <w:szCs w:val="22"/>
                <w:vertAlign w:val="superscript"/>
              </w:rPr>
              <w:t>3</w:t>
            </w:r>
            <w:r>
              <w:rPr>
                <w:color w:val="000000"/>
                <w:sz w:val="22"/>
                <w:szCs w:val="22"/>
              </w:rPr>
              <w:t>, láz</w:t>
            </w:r>
            <w:r>
              <w:rPr>
                <w:color w:val="000000"/>
                <w:sz w:val="22"/>
                <w:szCs w:val="22"/>
                <w:vertAlign w:val="superscript"/>
              </w:rPr>
              <w:t>2</w:t>
            </w:r>
            <w:r>
              <w:rPr>
                <w:color w:val="000000"/>
                <w:sz w:val="22"/>
                <w:szCs w:val="22"/>
              </w:rPr>
              <w:t>, asthenia, mellkasi fájdalom</w:t>
            </w:r>
            <w:r>
              <w:rPr>
                <w:color w:val="000000"/>
                <w:sz w:val="22"/>
                <w:szCs w:val="22"/>
                <w:vertAlign w:val="superscript"/>
              </w:rPr>
              <w:t>3</w:t>
            </w:r>
            <w:r>
              <w:rPr>
                <w:color w:val="000000"/>
                <w:sz w:val="22"/>
                <w:szCs w:val="22"/>
              </w:rPr>
              <w:t>, hidegrázás</w:t>
            </w:r>
            <w:r>
              <w:rPr>
                <w:color w:val="000000"/>
                <w:sz w:val="22"/>
                <w:szCs w:val="22"/>
                <w:vertAlign w:val="superscript"/>
              </w:rPr>
              <w:t>3</w:t>
            </w:r>
            <w:r>
              <w:rPr>
                <w:color w:val="000000"/>
                <w:sz w:val="22"/>
                <w:szCs w:val="22"/>
              </w:rPr>
              <w:t>, fáradtság</w:t>
            </w:r>
            <w:r>
              <w:rPr>
                <w:color w:val="000000"/>
                <w:sz w:val="22"/>
                <w:szCs w:val="22"/>
                <w:vertAlign w:val="superscript"/>
              </w:rPr>
              <w:t>3</w:t>
            </w:r>
          </w:p>
        </w:tc>
        <w:tc>
          <w:tcPr>
            <w:tcW w:w="2189" w:type="dxa"/>
          </w:tcPr>
          <w:p w14:paraId="208783C4" w14:textId="77777777" w:rsidR="002A3AC9" w:rsidRDefault="002A3AC9">
            <w:pPr>
              <w:rPr>
                <w:sz w:val="22"/>
                <w:szCs w:val="22"/>
              </w:rPr>
            </w:pPr>
          </w:p>
        </w:tc>
      </w:tr>
      <w:tr w:rsidR="002A3AC9" w14:paraId="37E369FE" w14:textId="77777777">
        <w:trPr>
          <w:trHeight w:val="37"/>
        </w:trPr>
        <w:tc>
          <w:tcPr>
            <w:tcW w:w="2188" w:type="dxa"/>
          </w:tcPr>
          <w:p w14:paraId="0CCAB7C8" w14:textId="77777777" w:rsidR="002A3AC9" w:rsidRDefault="00EC5E4D">
            <w:pPr>
              <w:rPr>
                <w:noProof/>
                <w:snapToGrid w:val="0"/>
                <w:sz w:val="22"/>
                <w:szCs w:val="22"/>
              </w:rPr>
            </w:pPr>
            <w:r>
              <w:rPr>
                <w:sz w:val="22"/>
                <w:szCs w:val="22"/>
              </w:rPr>
              <w:t>Laboratóriumi és egyéb vizsgálatok eredményei</w:t>
            </w:r>
          </w:p>
        </w:tc>
        <w:tc>
          <w:tcPr>
            <w:tcW w:w="2189" w:type="dxa"/>
          </w:tcPr>
          <w:p w14:paraId="57F9252F" w14:textId="77777777" w:rsidR="002A3AC9" w:rsidRDefault="002A3AC9">
            <w:pPr>
              <w:rPr>
                <w:sz w:val="22"/>
                <w:szCs w:val="22"/>
              </w:rPr>
            </w:pPr>
          </w:p>
        </w:tc>
        <w:tc>
          <w:tcPr>
            <w:tcW w:w="2189" w:type="dxa"/>
          </w:tcPr>
          <w:p w14:paraId="0C145864" w14:textId="77777777" w:rsidR="002A3AC9" w:rsidRDefault="00EC5E4D">
            <w:pPr>
              <w:rPr>
                <w:color w:val="000000"/>
                <w:sz w:val="22"/>
                <w:szCs w:val="22"/>
              </w:rPr>
            </w:pPr>
            <w:r>
              <w:rPr>
                <w:color w:val="000000"/>
                <w:sz w:val="22"/>
                <w:szCs w:val="22"/>
              </w:rPr>
              <w:t>a vér alkalikus foszfatáz szintjének emelkedése</w:t>
            </w:r>
            <w:r>
              <w:rPr>
                <w:color w:val="000000"/>
                <w:sz w:val="22"/>
                <w:szCs w:val="22"/>
                <w:vertAlign w:val="superscript"/>
              </w:rPr>
              <w:t>3</w:t>
            </w:r>
            <w:r>
              <w:rPr>
                <w:color w:val="000000"/>
                <w:sz w:val="22"/>
                <w:szCs w:val="22"/>
              </w:rPr>
              <w:t>, a vér laktát-dehidrogenáz szintjének emelkedése</w:t>
            </w:r>
            <w:r>
              <w:rPr>
                <w:color w:val="000000"/>
                <w:sz w:val="22"/>
                <w:szCs w:val="22"/>
                <w:vertAlign w:val="superscript"/>
              </w:rPr>
              <w:t>3</w:t>
            </w:r>
          </w:p>
        </w:tc>
        <w:tc>
          <w:tcPr>
            <w:tcW w:w="2189" w:type="dxa"/>
          </w:tcPr>
          <w:p w14:paraId="038F9F6A" w14:textId="77777777" w:rsidR="002A3AC9" w:rsidRDefault="00EC5E4D">
            <w:pPr>
              <w:rPr>
                <w:sz w:val="22"/>
                <w:szCs w:val="22"/>
              </w:rPr>
            </w:pPr>
            <w:r>
              <w:rPr>
                <w:color w:val="000000"/>
                <w:sz w:val="22"/>
                <w:szCs w:val="22"/>
              </w:rPr>
              <w:t>INR érték növekedés</w:t>
            </w:r>
            <w:r>
              <w:rPr>
                <w:sz w:val="22"/>
                <w:szCs w:val="22"/>
                <w:vertAlign w:val="superscript"/>
              </w:rPr>
              <w:t>7</w:t>
            </w:r>
            <w:r>
              <w:rPr>
                <w:color w:val="000000"/>
                <w:sz w:val="22"/>
                <w:szCs w:val="22"/>
              </w:rPr>
              <w:t>, protrombin idő megnyúlása</w:t>
            </w:r>
            <w:r>
              <w:rPr>
                <w:sz w:val="22"/>
                <w:szCs w:val="22"/>
                <w:vertAlign w:val="superscript"/>
              </w:rPr>
              <w:t>7</w:t>
            </w:r>
            <w:r>
              <w:rPr>
                <w:color w:val="000000"/>
                <w:sz w:val="22"/>
                <w:szCs w:val="22"/>
              </w:rPr>
              <w:t>, a vizelet rendellenes elszíneződése</w:t>
            </w:r>
          </w:p>
        </w:tc>
      </w:tr>
    </w:tbl>
    <w:p w14:paraId="2A660FDD" w14:textId="77777777" w:rsidR="002A3AC9" w:rsidRDefault="00EC5E4D">
      <w:pPr>
        <w:pStyle w:val="llb"/>
        <w:ind w:left="180"/>
        <w:rPr>
          <w:bCs/>
          <w:sz w:val="22"/>
          <w:szCs w:val="22"/>
          <w:vertAlign w:val="superscript"/>
        </w:rPr>
      </w:pPr>
      <w:r>
        <w:rPr>
          <w:bCs/>
          <w:sz w:val="22"/>
          <w:szCs w:val="22"/>
          <w:vertAlign w:val="superscript"/>
        </w:rPr>
        <w:t>1</w:t>
      </w:r>
      <w:r>
        <w:rPr>
          <w:bCs/>
          <w:sz w:val="22"/>
          <w:szCs w:val="22"/>
        </w:rPr>
        <w:t xml:space="preserve"> csak a módosított hatóanyag-leadású tabletta gyógyszerformánál jelentett mellékhatás</w:t>
      </w:r>
    </w:p>
    <w:p w14:paraId="287B5BEA" w14:textId="50677AFF" w:rsidR="002A3AC9" w:rsidRDefault="00EC5E4D">
      <w:pPr>
        <w:pStyle w:val="llb"/>
        <w:ind w:left="180"/>
        <w:rPr>
          <w:bCs/>
          <w:sz w:val="22"/>
          <w:szCs w:val="22"/>
          <w:vertAlign w:val="superscript"/>
        </w:rPr>
      </w:pPr>
      <w:r>
        <w:rPr>
          <w:rStyle w:val="Oldalszm"/>
          <w:sz w:val="22"/>
          <w:szCs w:val="22"/>
          <w:vertAlign w:val="superscript"/>
        </w:rPr>
        <w:t xml:space="preserve">2 </w:t>
      </w:r>
      <w:r>
        <w:rPr>
          <w:rStyle w:val="Oldalszm"/>
          <w:sz w:val="22"/>
          <w:szCs w:val="22"/>
        </w:rPr>
        <w:t xml:space="preserve">csak a granulátum belsőleges </w:t>
      </w:r>
      <w:r w:rsidR="00B0483F">
        <w:rPr>
          <w:rStyle w:val="Oldalszm"/>
          <w:sz w:val="22"/>
          <w:szCs w:val="22"/>
        </w:rPr>
        <w:t xml:space="preserve">szuszpenzióhoz </w:t>
      </w:r>
      <w:r>
        <w:rPr>
          <w:rStyle w:val="Oldalszm"/>
          <w:sz w:val="22"/>
          <w:szCs w:val="22"/>
        </w:rPr>
        <w:t>gyógyszerformánál jelentett mellékhatás</w:t>
      </w:r>
    </w:p>
    <w:p w14:paraId="1F81F68D" w14:textId="77777777" w:rsidR="002A3AC9" w:rsidRDefault="00EC5E4D">
      <w:pPr>
        <w:pStyle w:val="llb"/>
        <w:ind w:left="180"/>
        <w:rPr>
          <w:rStyle w:val="Oldalszm"/>
          <w:sz w:val="22"/>
          <w:szCs w:val="22"/>
          <w:vertAlign w:val="superscript"/>
        </w:rPr>
      </w:pPr>
      <w:r>
        <w:rPr>
          <w:bCs/>
          <w:sz w:val="22"/>
          <w:szCs w:val="22"/>
          <w:vertAlign w:val="superscript"/>
        </w:rPr>
        <w:t xml:space="preserve">3 </w:t>
      </w:r>
      <w:r>
        <w:rPr>
          <w:bCs/>
          <w:sz w:val="22"/>
          <w:szCs w:val="22"/>
        </w:rPr>
        <w:t>csak az azonnali hatóanyag-leadású tabletta gyógyszerformánál jelentett mellékhatás</w:t>
      </w:r>
    </w:p>
    <w:p w14:paraId="57DC5131" w14:textId="77777777" w:rsidR="002A3AC9" w:rsidRDefault="00EC5E4D">
      <w:pPr>
        <w:pStyle w:val="llb"/>
        <w:ind w:left="180"/>
        <w:rPr>
          <w:sz w:val="22"/>
          <w:szCs w:val="22"/>
          <w:vertAlign w:val="superscript"/>
        </w:rPr>
      </w:pPr>
      <w:r>
        <w:rPr>
          <w:sz w:val="22"/>
          <w:szCs w:val="22"/>
          <w:vertAlign w:val="superscript"/>
        </w:rPr>
        <w:t xml:space="preserve">4, 6, 8, 9 </w:t>
      </w:r>
      <w:r>
        <w:rPr>
          <w:sz w:val="22"/>
          <w:szCs w:val="22"/>
        </w:rPr>
        <w:t>lásd a) bekezdés</w:t>
      </w:r>
    </w:p>
    <w:p w14:paraId="3A23BA10" w14:textId="77777777" w:rsidR="002A3AC9" w:rsidRDefault="00EC5E4D">
      <w:pPr>
        <w:pStyle w:val="llb"/>
        <w:ind w:left="180"/>
        <w:rPr>
          <w:sz w:val="22"/>
          <w:szCs w:val="22"/>
          <w:vertAlign w:val="superscript"/>
        </w:rPr>
      </w:pPr>
      <w:r>
        <w:rPr>
          <w:sz w:val="22"/>
          <w:szCs w:val="22"/>
          <w:vertAlign w:val="superscript"/>
        </w:rPr>
        <w:t xml:space="preserve">5, 7,10 </w:t>
      </w:r>
      <w:r>
        <w:rPr>
          <w:sz w:val="22"/>
          <w:szCs w:val="22"/>
        </w:rPr>
        <w:t>lásd c) bekezdés</w:t>
      </w:r>
    </w:p>
    <w:p w14:paraId="07A5DBEC" w14:textId="77777777" w:rsidR="002A3AC9" w:rsidRDefault="002A3AC9">
      <w:pPr>
        <w:pStyle w:val="WW-Szvegtrzs31"/>
        <w:rPr>
          <w:szCs w:val="22"/>
        </w:rPr>
      </w:pPr>
    </w:p>
    <w:p w14:paraId="00F293A0" w14:textId="77777777" w:rsidR="002A3AC9" w:rsidRDefault="00EC5E4D">
      <w:pPr>
        <w:keepNext/>
        <w:rPr>
          <w:b/>
          <w:sz w:val="22"/>
          <w:szCs w:val="22"/>
        </w:rPr>
      </w:pPr>
      <w:r>
        <w:rPr>
          <w:b/>
          <w:sz w:val="22"/>
          <w:szCs w:val="22"/>
        </w:rPr>
        <w:t xml:space="preserve">c, </w:t>
      </w:r>
      <w:r w:rsidRPr="00AC474F">
        <w:rPr>
          <w:b/>
          <w:i/>
          <w:iCs/>
          <w:sz w:val="22"/>
          <w:szCs w:val="22"/>
        </w:rPr>
        <w:t>Néhány mellékhatás leírása</w:t>
      </w:r>
    </w:p>
    <w:p w14:paraId="75161F03" w14:textId="77777777" w:rsidR="002A3AC9" w:rsidRDefault="002A3AC9">
      <w:pPr>
        <w:keepNext/>
        <w:rPr>
          <w:sz w:val="22"/>
          <w:szCs w:val="22"/>
        </w:rPr>
      </w:pPr>
    </w:p>
    <w:p w14:paraId="6CB0B7A4" w14:textId="77777777" w:rsidR="002A3AC9" w:rsidRDefault="00EC5E4D">
      <w:pPr>
        <w:pStyle w:val="WW-Szvegtrzs31"/>
        <w:keepNext/>
        <w:rPr>
          <w:szCs w:val="22"/>
        </w:rPr>
      </w:pPr>
      <w:r>
        <w:rPr>
          <w:szCs w:val="22"/>
        </w:rPr>
        <w:t>A rhabdomyolysisről szóló jelentések némelyikében a klaritromicint sztatinokkal, fibrátokkal, kolchicinnel, illetve allopurinollal alkalmazták egyidejűleg (lásd 4.3 és 4.4 pont).</w:t>
      </w:r>
    </w:p>
    <w:p w14:paraId="5281F634" w14:textId="77777777" w:rsidR="002A3AC9" w:rsidRDefault="002A3AC9">
      <w:pPr>
        <w:pStyle w:val="WW-Szvegtrzs31"/>
        <w:rPr>
          <w:szCs w:val="22"/>
        </w:rPr>
      </w:pPr>
    </w:p>
    <w:p w14:paraId="5ECF0AD2" w14:textId="77777777" w:rsidR="002A3AC9" w:rsidRDefault="00EC5E4D">
      <w:pPr>
        <w:pStyle w:val="WW-Szvegtrzs31"/>
        <w:rPr>
          <w:szCs w:val="22"/>
        </w:rPr>
      </w:pPr>
      <w:r>
        <w:rPr>
          <w:szCs w:val="22"/>
        </w:rPr>
        <w:t>A klaritromicin és a triazolám egyidejű alkalmazásával kapcsolatban vannak a forgalomba hozatalt követő gyógyszerkölcsönhatásról és központi idegrendszeri hatásokról (például aluszékonyság és zavartság) szóló jelentések. A betegeknél a központi idegrendszeri farmakológiai hatások növekedésének ellenőrzése javasolt (lásd 4.5 pont).</w:t>
      </w:r>
    </w:p>
    <w:p w14:paraId="47DF03A3" w14:textId="77777777" w:rsidR="002A3AC9" w:rsidRDefault="002A3AC9">
      <w:pPr>
        <w:pStyle w:val="WW-Szvegtrzs31"/>
        <w:rPr>
          <w:szCs w:val="22"/>
        </w:rPr>
      </w:pPr>
    </w:p>
    <w:p w14:paraId="519B6CE4" w14:textId="77777777" w:rsidR="002A3AC9" w:rsidRDefault="00EC5E4D">
      <w:pPr>
        <w:pStyle w:val="WW-Szvegtrzs31"/>
        <w:rPr>
          <w:szCs w:val="22"/>
        </w:rPr>
      </w:pPr>
      <w:r>
        <w:rPr>
          <w:szCs w:val="22"/>
        </w:rPr>
        <w:t>Ritkán jelentették a késleltetett hatóanyag-leadású tabletta maradványainak székletben történő megjelenését, elsősorban olyan betegeknél, akinél anatómiai (ideértve az ileostomiát vagy colostomiát is) vagy funkcionális gastrointestinalis betegség és csökkent gastrointestinalis tranzit idő állt fenn. Számos jelentésben a tablettamaradványok megjelenése hasmenéssel állt összefüggésben. Amennyiben a beteg tablettamaradványokat lát a székletében és állapota nem javul, ajánlott a beteg más gyógyszerformára (például szuszpenzió) vagy más antibiotikumra való átállítása.</w:t>
      </w:r>
    </w:p>
    <w:p w14:paraId="52AD3727" w14:textId="77777777" w:rsidR="002A3AC9" w:rsidRDefault="002A3AC9">
      <w:pPr>
        <w:pStyle w:val="WW-Szvegtrzs31"/>
        <w:rPr>
          <w:szCs w:val="22"/>
        </w:rPr>
      </w:pPr>
    </w:p>
    <w:p w14:paraId="5A29A237" w14:textId="77777777" w:rsidR="002A3AC9" w:rsidRDefault="00EC5E4D">
      <w:pPr>
        <w:pStyle w:val="WW-Szvegtrzs31"/>
        <w:rPr>
          <w:szCs w:val="22"/>
        </w:rPr>
      </w:pPr>
      <w:r>
        <w:rPr>
          <w:szCs w:val="22"/>
        </w:rPr>
        <w:t>Különleges betegcsoport: immunhiányos betegekre vonatkozó mellékhatás részt lásd e, bekezdés.</w:t>
      </w:r>
    </w:p>
    <w:p w14:paraId="0A410A06" w14:textId="77777777" w:rsidR="002A3AC9" w:rsidRDefault="002A3AC9">
      <w:pPr>
        <w:pStyle w:val="WW-Szvegtrzs31"/>
        <w:rPr>
          <w:szCs w:val="22"/>
        </w:rPr>
      </w:pPr>
    </w:p>
    <w:p w14:paraId="7C2A4D2F" w14:textId="77777777" w:rsidR="002A3AC9" w:rsidRPr="00AC474F" w:rsidRDefault="00EC5E4D">
      <w:pPr>
        <w:pStyle w:val="WW-Szvegtrzs31"/>
        <w:keepNext/>
        <w:rPr>
          <w:b/>
          <w:i/>
          <w:iCs/>
          <w:szCs w:val="22"/>
        </w:rPr>
      </w:pPr>
      <w:r>
        <w:rPr>
          <w:b/>
          <w:szCs w:val="22"/>
        </w:rPr>
        <w:lastRenderedPageBreak/>
        <w:t>d</w:t>
      </w:r>
      <w:r w:rsidRPr="00AC474F">
        <w:rPr>
          <w:b/>
          <w:i/>
          <w:iCs/>
          <w:szCs w:val="22"/>
        </w:rPr>
        <w:t>, Gyermekek és serdülők</w:t>
      </w:r>
    </w:p>
    <w:p w14:paraId="7DE00F70" w14:textId="77777777" w:rsidR="002A3AC9" w:rsidRPr="00AC474F" w:rsidRDefault="002A3AC9">
      <w:pPr>
        <w:pStyle w:val="WW-Szvegtrzs31"/>
        <w:keepNext/>
        <w:rPr>
          <w:bCs/>
          <w:szCs w:val="22"/>
        </w:rPr>
      </w:pPr>
    </w:p>
    <w:p w14:paraId="17BD3633" w14:textId="2CE6633A" w:rsidR="002A3AC9" w:rsidRDefault="00EC5E4D">
      <w:pPr>
        <w:pStyle w:val="WW-Szvegtrzs31"/>
        <w:keepNext/>
        <w:rPr>
          <w:szCs w:val="22"/>
        </w:rPr>
      </w:pPr>
      <w:r>
        <w:rPr>
          <w:szCs w:val="22"/>
        </w:rPr>
        <w:t>6 hónap és 12 év közötti gyermekek esetében klinikai vizsgálatokat végeztek a klaritromicin gyermekgyógyászati alkalmazására vonatkozóan, így 12 éves és annál fiatalabb gyermekeknek klaritromicin csak szuszpenzió formájában adható.</w:t>
      </w:r>
    </w:p>
    <w:p w14:paraId="50D4F567" w14:textId="77777777" w:rsidR="002A3AC9" w:rsidRDefault="00EC5E4D">
      <w:pPr>
        <w:pStyle w:val="WW-Szvegtrzs31"/>
        <w:rPr>
          <w:szCs w:val="22"/>
        </w:rPr>
      </w:pPr>
      <w:r>
        <w:rPr>
          <w:szCs w:val="22"/>
        </w:rPr>
        <w:t>Nem áll rendelkezésre elegendő adat a klaritromicin intravénás alkalmazásával kapcsolatban 18 év alatti betegek esetében.</w:t>
      </w:r>
    </w:p>
    <w:p w14:paraId="14D75713" w14:textId="77777777" w:rsidR="002A3AC9" w:rsidRDefault="002A3AC9">
      <w:pPr>
        <w:pStyle w:val="WW-Szvegtrzs31"/>
        <w:rPr>
          <w:szCs w:val="22"/>
        </w:rPr>
      </w:pPr>
    </w:p>
    <w:p w14:paraId="24342189" w14:textId="77777777" w:rsidR="002A3AC9" w:rsidRDefault="00EC5E4D">
      <w:pPr>
        <w:pStyle w:val="WW-Szvegtrzs31"/>
        <w:rPr>
          <w:b/>
          <w:szCs w:val="22"/>
        </w:rPr>
      </w:pPr>
      <w:r>
        <w:rPr>
          <w:szCs w:val="22"/>
        </w:rPr>
        <w:t>A mellékhatások gyakorisága, típusa és súlyossága gyermeknél várhatóan azonos a felnőtt populációéval.</w:t>
      </w:r>
    </w:p>
    <w:p w14:paraId="7EF74FFE" w14:textId="77777777" w:rsidR="002A3AC9" w:rsidRPr="00AC474F" w:rsidRDefault="002A3AC9">
      <w:pPr>
        <w:pStyle w:val="WW-Szvegtrzs31"/>
        <w:rPr>
          <w:bCs/>
          <w:szCs w:val="22"/>
        </w:rPr>
      </w:pPr>
    </w:p>
    <w:p w14:paraId="70C4D18F" w14:textId="77777777" w:rsidR="002A3AC9" w:rsidRPr="00AC474F" w:rsidRDefault="00EC5E4D">
      <w:pPr>
        <w:pStyle w:val="WW-Szvegtrzs31"/>
        <w:rPr>
          <w:b/>
          <w:i/>
          <w:iCs/>
          <w:szCs w:val="22"/>
        </w:rPr>
      </w:pPr>
      <w:r>
        <w:rPr>
          <w:b/>
          <w:szCs w:val="22"/>
        </w:rPr>
        <w:t xml:space="preserve">e, </w:t>
      </w:r>
      <w:r w:rsidRPr="00AC474F">
        <w:rPr>
          <w:b/>
          <w:i/>
          <w:iCs/>
          <w:szCs w:val="22"/>
        </w:rPr>
        <w:t>Egyéb különleges betegcsoport</w:t>
      </w:r>
    </w:p>
    <w:p w14:paraId="49A858C1" w14:textId="77777777" w:rsidR="002A3AC9" w:rsidRPr="00AC474F" w:rsidRDefault="002A3AC9">
      <w:pPr>
        <w:pStyle w:val="WW-Szvegtrzs31"/>
        <w:rPr>
          <w:bCs/>
          <w:szCs w:val="22"/>
        </w:rPr>
      </w:pPr>
    </w:p>
    <w:p w14:paraId="5A61BD0D" w14:textId="77777777" w:rsidR="002A3AC9" w:rsidRDefault="00EC5E4D">
      <w:pPr>
        <w:pStyle w:val="WW-Szvegtrzs31"/>
        <w:rPr>
          <w:i/>
          <w:szCs w:val="22"/>
          <w:u w:val="single"/>
        </w:rPr>
      </w:pPr>
      <w:r>
        <w:rPr>
          <w:i/>
          <w:szCs w:val="22"/>
          <w:u w:val="single"/>
        </w:rPr>
        <w:t>Immunhiányos betegek</w:t>
      </w:r>
    </w:p>
    <w:p w14:paraId="729E8CDD" w14:textId="77777777" w:rsidR="002A3AC9" w:rsidRDefault="00EC5E4D">
      <w:pPr>
        <w:pStyle w:val="WW-Szvegtrzs31"/>
        <w:rPr>
          <w:szCs w:val="22"/>
        </w:rPr>
      </w:pPr>
      <w:r>
        <w:rPr>
          <w:szCs w:val="22"/>
        </w:rPr>
        <w:t>AIDS és más immunhiányos betegek mycobacterialis infekció miatti tartós, nagy dózisú klaritromicin</w:t>
      </w:r>
      <w:r>
        <w:rPr>
          <w:szCs w:val="22"/>
        </w:rPr>
        <w:noBreakHyphen/>
        <w:t>kezelése során gyakran nehéz elkülöníteni a klaritromicin-terápiával összefüggő lehetséges mellékhatásokat, a Humán Immunodeficiencia Vírus (HIV)-fertőzés következtében kialakult tünetektől vagy a társuló betegségektől.</w:t>
      </w:r>
    </w:p>
    <w:p w14:paraId="478EDEC4" w14:textId="77777777" w:rsidR="002A3AC9" w:rsidRDefault="002A3AC9">
      <w:pPr>
        <w:pStyle w:val="WW-Szvegtrzs31"/>
        <w:rPr>
          <w:szCs w:val="22"/>
        </w:rPr>
      </w:pPr>
    </w:p>
    <w:p w14:paraId="4F04CF02" w14:textId="77777777" w:rsidR="002A3AC9" w:rsidRDefault="00EC5E4D">
      <w:pPr>
        <w:pStyle w:val="WW-Szvegtrzs31"/>
        <w:rPr>
          <w:szCs w:val="22"/>
        </w:rPr>
      </w:pPr>
      <w:r>
        <w:rPr>
          <w:szCs w:val="22"/>
        </w:rPr>
        <w:t>1000 mg és 2000 mg napi dózisú klaritromicinnel kezelt felnőtteknél észlelt leggyakoribb mellékhatások a következők voltak: hányinger, hányás, az ízérzés zavara, hasi fájdalom, hasmenés, bőrkiütés, flatulentia, fejfájás, székrekedés, hallászavarok, GPT- és GOT-emelkedés. Alacsony gyakoriságban nehézlégzés, álmatlanság és szájszárazság is előfordult. Összehasonlítva azokat, akiket 1000 mg és 2000 mg klaritromicinnel kezeltek azon betegekkel, akik napi 4000 mg összdózisú klaritromicint kaptak, az utóbbiaknál 3-4-szer gyakrabban jelentkeztek a mellékhatások.</w:t>
      </w:r>
    </w:p>
    <w:p w14:paraId="06865659" w14:textId="77777777" w:rsidR="002A3AC9" w:rsidRDefault="002A3AC9">
      <w:pPr>
        <w:pStyle w:val="WW-Szvegtrzs31"/>
        <w:rPr>
          <w:szCs w:val="22"/>
        </w:rPr>
      </w:pPr>
    </w:p>
    <w:p w14:paraId="6AAB46E8" w14:textId="77777777" w:rsidR="002A3AC9" w:rsidRDefault="00EC5E4D">
      <w:pPr>
        <w:pStyle w:val="WW-Szvegtrzs31"/>
        <w:rPr>
          <w:szCs w:val="22"/>
        </w:rPr>
      </w:pPr>
      <w:r>
        <w:rPr>
          <w:szCs w:val="22"/>
        </w:rPr>
        <w:t>Ezeknél az immunhiányos betegeknél a laboratóriumi paraméterek értékelésénél a súlyosan kóros szinteket elemzik (azaz az extrém magas vagy alacsony szinteket). Ezen a kritériumon alapulva azoknál a betegeknél, akik napi 1000 mg és 2000 mg klaritromicint kaptak a betegek 2-3%-ának lett súlyosan emelkedett az GPT- és GOT-szintje, és kórosan alacsony a fehérvérsejt- és vérlemezke száma. Ezen két dóziscsoportú betegek alacsony százalékában, emelkedett lett a vér karbamid</w:t>
      </w:r>
      <w:r>
        <w:rPr>
          <w:szCs w:val="22"/>
        </w:rPr>
        <w:noBreakHyphen/>
        <w:t>nitrogén szintje. A napi 4000 mg klaritromicint szedő csoportban alig nagyobb gyakorisággal jelentkeztek kóros értékek az összes paramétert illetően, kivéve a fehérvérsejtszámot.</w:t>
      </w:r>
    </w:p>
    <w:p w14:paraId="47CC236C" w14:textId="77777777" w:rsidR="002A3AC9" w:rsidRDefault="002A3AC9">
      <w:pPr>
        <w:tabs>
          <w:tab w:val="left" w:pos="567"/>
        </w:tabs>
        <w:rPr>
          <w:sz w:val="22"/>
          <w:szCs w:val="22"/>
        </w:rPr>
      </w:pPr>
    </w:p>
    <w:p w14:paraId="7D77CAB6" w14:textId="77777777" w:rsidR="002A3AC9" w:rsidRDefault="00EC5E4D">
      <w:pPr>
        <w:rPr>
          <w:sz w:val="22"/>
          <w:szCs w:val="22"/>
          <w:u w:val="single"/>
        </w:rPr>
      </w:pPr>
      <w:r>
        <w:rPr>
          <w:sz w:val="22"/>
          <w:szCs w:val="22"/>
          <w:u w:val="single"/>
        </w:rPr>
        <w:t>Feltételezett mellékhatások bejelentése</w:t>
      </w:r>
    </w:p>
    <w:p w14:paraId="77A89835" w14:textId="77777777" w:rsidR="002A3AC9" w:rsidRDefault="00EC5E4D">
      <w:pPr>
        <w:rPr>
          <w:sz w:val="22"/>
          <w:szCs w:val="22"/>
        </w:rPr>
      </w:pPr>
      <w:r>
        <w:rPr>
          <w:sz w:val="22"/>
          <w:szCs w:val="22"/>
        </w:rPr>
        <w:t>A gyógyszer engedélyezését követően lényeges a feltételezett mellékhatások bejelentése, mert ez fontos eszköze annak, hogy a gyógyszer előny/kockázat profilját folyamatosan figyelemmel lehessen kísérni.</w:t>
      </w:r>
    </w:p>
    <w:p w14:paraId="19E41F45" w14:textId="1D7972B4" w:rsidR="002A3AC9" w:rsidRDefault="00EC5E4D">
      <w:pPr>
        <w:rPr>
          <w:sz w:val="22"/>
          <w:szCs w:val="22"/>
        </w:rPr>
      </w:pPr>
      <w:r>
        <w:rPr>
          <w:sz w:val="22"/>
          <w:szCs w:val="22"/>
        </w:rPr>
        <w:t xml:space="preserve">Az egészségügyi szakembereket kérjük, hogy jelentsék be a feltételezett mellékhatásokat a hatóság részére az </w:t>
      </w:r>
      <w:hyperlink r:id="rId8" w:history="1">
        <w:r>
          <w:rPr>
            <w:rStyle w:val="Hiperhivatkozs"/>
            <w:sz w:val="22"/>
            <w:szCs w:val="22"/>
          </w:rPr>
          <w:t>V. függelékben</w:t>
        </w:r>
      </w:hyperlink>
      <w:r>
        <w:rPr>
          <w:sz w:val="22"/>
          <w:szCs w:val="22"/>
        </w:rPr>
        <w:t xml:space="preserve"> található elérhetőségek valamelyikén keresztül.</w:t>
      </w:r>
    </w:p>
    <w:p w14:paraId="5F9050D6" w14:textId="77777777" w:rsidR="002A3AC9" w:rsidRDefault="002A3AC9">
      <w:pPr>
        <w:tabs>
          <w:tab w:val="left" w:pos="567"/>
        </w:tabs>
        <w:rPr>
          <w:sz w:val="22"/>
          <w:szCs w:val="22"/>
        </w:rPr>
      </w:pPr>
    </w:p>
    <w:p w14:paraId="3E7A197A" w14:textId="77777777" w:rsidR="002A3AC9" w:rsidRDefault="00EC5E4D">
      <w:pPr>
        <w:pStyle w:val="02"/>
        <w:keepNext/>
        <w:tabs>
          <w:tab w:val="left" w:pos="567"/>
        </w:tabs>
        <w:spacing w:before="0" w:after="0" w:line="240" w:lineRule="auto"/>
        <w:ind w:firstLine="0"/>
        <w:rPr>
          <w:sz w:val="22"/>
          <w:szCs w:val="22"/>
        </w:rPr>
      </w:pPr>
      <w:r>
        <w:rPr>
          <w:sz w:val="22"/>
          <w:szCs w:val="22"/>
        </w:rPr>
        <w:t>4.9</w:t>
      </w:r>
      <w:r>
        <w:rPr>
          <w:sz w:val="22"/>
          <w:szCs w:val="22"/>
        </w:rPr>
        <w:tab/>
        <w:t>Túladagolás</w:t>
      </w:r>
    </w:p>
    <w:p w14:paraId="6D304133" w14:textId="77777777" w:rsidR="002A3AC9" w:rsidRDefault="002A3AC9">
      <w:pPr>
        <w:keepNext/>
        <w:tabs>
          <w:tab w:val="left" w:pos="567"/>
        </w:tabs>
        <w:rPr>
          <w:sz w:val="22"/>
          <w:szCs w:val="22"/>
        </w:rPr>
      </w:pPr>
    </w:p>
    <w:p w14:paraId="6F42203C" w14:textId="77777777" w:rsidR="002A3AC9" w:rsidRDefault="00EC5E4D">
      <w:pPr>
        <w:pStyle w:val="Szvegtrzs"/>
        <w:keepNext/>
        <w:rPr>
          <w:sz w:val="22"/>
          <w:szCs w:val="22"/>
        </w:rPr>
      </w:pPr>
      <w:r>
        <w:rPr>
          <w:sz w:val="22"/>
          <w:szCs w:val="22"/>
        </w:rPr>
        <w:t>A jelentések szerint nagy mennyiségű klaritromicin bevétele várhatóan gastrointestinalis tüneteket okozhat. Egy beteg, akinek az anamnézisében bipoláris megbetegedés szerepelt, 8 gramm klaritromicint vett be, és megváltozott mentális statust, paranoid viselkedést, hypokalaemiát és hypoxaemiát észleltek nála.</w:t>
      </w:r>
    </w:p>
    <w:p w14:paraId="56DB8E6A" w14:textId="77777777" w:rsidR="002A3AC9" w:rsidRDefault="002A3AC9">
      <w:pPr>
        <w:pStyle w:val="Szvegtrzs"/>
        <w:rPr>
          <w:sz w:val="22"/>
          <w:szCs w:val="22"/>
        </w:rPr>
      </w:pPr>
    </w:p>
    <w:p w14:paraId="3FF352A6" w14:textId="77777777" w:rsidR="002A3AC9" w:rsidRDefault="00EC5E4D">
      <w:pPr>
        <w:pStyle w:val="Szvegtrzs"/>
        <w:rPr>
          <w:sz w:val="22"/>
          <w:szCs w:val="22"/>
        </w:rPr>
      </w:pPr>
      <w:r>
        <w:rPr>
          <w:sz w:val="22"/>
          <w:szCs w:val="22"/>
        </w:rPr>
        <w:t>A túladagolás következtében kialakult mellékhatásokat kezelni kell a még fel nem szívódott gyógyszer azonnali eltávolításával és szupportív terápiával. A többi makrolid antibiotikumhoz hasonlóan, a klaritromicin plazmaszintjét sem befolyásolja észrevehetően a hemodialízis és a peritoneális dialízis.</w:t>
      </w:r>
    </w:p>
    <w:p w14:paraId="74B6717C" w14:textId="77777777" w:rsidR="002A3AC9" w:rsidRDefault="002A3AC9">
      <w:pPr>
        <w:tabs>
          <w:tab w:val="left" w:pos="567"/>
        </w:tabs>
        <w:rPr>
          <w:sz w:val="22"/>
          <w:szCs w:val="22"/>
        </w:rPr>
      </w:pPr>
    </w:p>
    <w:p w14:paraId="162C9151" w14:textId="77777777" w:rsidR="002A3AC9" w:rsidRDefault="002A3AC9">
      <w:pPr>
        <w:tabs>
          <w:tab w:val="left" w:pos="567"/>
        </w:tabs>
        <w:rPr>
          <w:sz w:val="22"/>
          <w:szCs w:val="22"/>
        </w:rPr>
      </w:pPr>
    </w:p>
    <w:p w14:paraId="46CFA039" w14:textId="77777777" w:rsidR="002A3AC9" w:rsidRDefault="00EC5E4D">
      <w:pPr>
        <w:tabs>
          <w:tab w:val="left" w:pos="708"/>
        </w:tabs>
        <w:ind w:left="567" w:hanging="567"/>
        <w:rPr>
          <w:b/>
          <w:sz w:val="22"/>
          <w:szCs w:val="22"/>
        </w:rPr>
      </w:pPr>
      <w:r>
        <w:rPr>
          <w:b/>
          <w:sz w:val="22"/>
          <w:szCs w:val="22"/>
        </w:rPr>
        <w:t>5.</w:t>
      </w:r>
      <w:r>
        <w:rPr>
          <w:b/>
          <w:sz w:val="22"/>
          <w:szCs w:val="22"/>
        </w:rPr>
        <w:tab/>
        <w:t>FARMAKOLÓGIAI TULAJDONSÁGOK</w:t>
      </w:r>
    </w:p>
    <w:p w14:paraId="264295B5" w14:textId="77777777" w:rsidR="002A3AC9" w:rsidRPr="00AC474F" w:rsidRDefault="002A3AC9">
      <w:pPr>
        <w:tabs>
          <w:tab w:val="left" w:pos="708"/>
        </w:tabs>
        <w:rPr>
          <w:bCs/>
          <w:sz w:val="22"/>
          <w:szCs w:val="22"/>
        </w:rPr>
      </w:pPr>
    </w:p>
    <w:p w14:paraId="637602EA" w14:textId="77777777" w:rsidR="002A3AC9" w:rsidRDefault="00EC5E4D">
      <w:pPr>
        <w:tabs>
          <w:tab w:val="left" w:pos="708"/>
        </w:tabs>
        <w:ind w:left="567" w:hanging="567"/>
        <w:rPr>
          <w:b/>
          <w:sz w:val="22"/>
          <w:szCs w:val="22"/>
        </w:rPr>
      </w:pPr>
      <w:r>
        <w:rPr>
          <w:b/>
          <w:sz w:val="22"/>
          <w:szCs w:val="22"/>
        </w:rPr>
        <w:t xml:space="preserve">5.1 </w:t>
      </w:r>
      <w:r>
        <w:rPr>
          <w:b/>
          <w:sz w:val="22"/>
          <w:szCs w:val="22"/>
        </w:rPr>
        <w:tab/>
        <w:t>Farmakodinámiás tulajdonságok</w:t>
      </w:r>
    </w:p>
    <w:p w14:paraId="415AB3C2" w14:textId="77777777" w:rsidR="002A3AC9" w:rsidRDefault="002A3AC9">
      <w:pPr>
        <w:tabs>
          <w:tab w:val="left" w:pos="567"/>
        </w:tabs>
        <w:rPr>
          <w:sz w:val="22"/>
          <w:szCs w:val="22"/>
        </w:rPr>
      </w:pPr>
    </w:p>
    <w:p w14:paraId="4FAEF0C4" w14:textId="77777777" w:rsidR="002A3AC9" w:rsidRDefault="00EC5E4D">
      <w:pPr>
        <w:tabs>
          <w:tab w:val="left" w:pos="567"/>
        </w:tabs>
        <w:rPr>
          <w:sz w:val="22"/>
          <w:szCs w:val="22"/>
        </w:rPr>
      </w:pPr>
      <w:r>
        <w:rPr>
          <w:sz w:val="22"/>
          <w:szCs w:val="22"/>
        </w:rPr>
        <w:lastRenderedPageBreak/>
        <w:t>Farmakoterápiás csoport: makrolidok, linkozamidok és sztreptograminok</w:t>
      </w:r>
    </w:p>
    <w:p w14:paraId="05578080" w14:textId="77777777" w:rsidR="002A3AC9" w:rsidRDefault="00EC5E4D">
      <w:pPr>
        <w:tabs>
          <w:tab w:val="left" w:pos="567"/>
        </w:tabs>
        <w:rPr>
          <w:sz w:val="22"/>
          <w:szCs w:val="22"/>
        </w:rPr>
      </w:pPr>
      <w:r>
        <w:rPr>
          <w:sz w:val="22"/>
          <w:szCs w:val="22"/>
        </w:rPr>
        <w:t>ATC kód: J01FA09</w:t>
      </w:r>
    </w:p>
    <w:p w14:paraId="08E95431" w14:textId="77777777" w:rsidR="002A3AC9" w:rsidRPr="00AC474F" w:rsidRDefault="002A3AC9">
      <w:pPr>
        <w:pStyle w:val="03"/>
        <w:tabs>
          <w:tab w:val="left" w:pos="567"/>
        </w:tabs>
        <w:spacing w:before="0" w:after="0" w:line="240" w:lineRule="auto"/>
        <w:ind w:firstLine="0"/>
        <w:jc w:val="left"/>
        <w:rPr>
          <w:b w:val="0"/>
          <w:bCs/>
          <w:i w:val="0"/>
          <w:iCs/>
          <w:sz w:val="22"/>
          <w:szCs w:val="22"/>
        </w:rPr>
      </w:pPr>
    </w:p>
    <w:p w14:paraId="7A4F9D49" w14:textId="77777777" w:rsidR="002A3AC9" w:rsidRDefault="00EC5E4D">
      <w:pPr>
        <w:pStyle w:val="03"/>
        <w:tabs>
          <w:tab w:val="left" w:pos="567"/>
        </w:tabs>
        <w:spacing w:before="0" w:after="0" w:line="240" w:lineRule="auto"/>
        <w:ind w:firstLine="0"/>
        <w:jc w:val="left"/>
        <w:rPr>
          <w:b w:val="0"/>
          <w:i w:val="0"/>
          <w:sz w:val="22"/>
          <w:szCs w:val="22"/>
          <w:u w:val="single"/>
        </w:rPr>
      </w:pPr>
      <w:r>
        <w:rPr>
          <w:b w:val="0"/>
          <w:i w:val="0"/>
          <w:sz w:val="22"/>
          <w:szCs w:val="22"/>
          <w:u w:val="single"/>
        </w:rPr>
        <w:t>Hatásmechanizmus</w:t>
      </w:r>
    </w:p>
    <w:p w14:paraId="5B51F048" w14:textId="77777777" w:rsidR="002A3AC9" w:rsidRDefault="00EC5E4D">
      <w:pPr>
        <w:rPr>
          <w:sz w:val="22"/>
          <w:szCs w:val="22"/>
        </w:rPr>
      </w:pPr>
      <w:r>
        <w:rPr>
          <w:spacing w:val="-2"/>
          <w:sz w:val="22"/>
          <w:szCs w:val="22"/>
        </w:rPr>
        <w:t xml:space="preserve">A klaritromicin makrolid-típusú antibiotikum, félszintetikus eritromicin-származék. </w:t>
      </w:r>
      <w:r>
        <w:rPr>
          <w:sz w:val="22"/>
          <w:szCs w:val="22"/>
        </w:rPr>
        <w:t>A makrolidok a riboszómák 50S alegységének P-kötőhelyéhez reverzibilisen kötődve leállítják az RNS-függő fehérjeszintézist, nevezetesen a transzpeptidációt (a peptidlánc hosszának növelését) és/vagy a transzlokációt (a transzfer- és a messenger-RNS közötti aminosav-átadást). A peptidszintézis leállása következtében nem képződnek a sejtfunkciókhoz nélkülözhetetlen fehérjék, és ez zavarokat okoz a sejt élettani működéseiben.</w:t>
      </w:r>
    </w:p>
    <w:p w14:paraId="717BD03F" w14:textId="77777777" w:rsidR="002A3AC9" w:rsidRDefault="00EC5E4D">
      <w:pPr>
        <w:tabs>
          <w:tab w:val="left" w:pos="567"/>
        </w:tabs>
        <w:rPr>
          <w:sz w:val="22"/>
          <w:szCs w:val="22"/>
        </w:rPr>
      </w:pPr>
      <w:r>
        <w:rPr>
          <w:sz w:val="22"/>
          <w:szCs w:val="22"/>
        </w:rPr>
        <w:t>A különböző fajokra jellemző szerkezeti sajátosságok különbözősége miatt a makrolid antibiotikumok nem kötődnek eukarióta sejtek riboszómáihoz – emberben minden bizonnyal emiatt csekély a toxicitásuk.</w:t>
      </w:r>
    </w:p>
    <w:p w14:paraId="35F0F5C7" w14:textId="77777777" w:rsidR="002A3AC9" w:rsidRDefault="00EC5E4D">
      <w:pPr>
        <w:tabs>
          <w:tab w:val="left" w:pos="567"/>
        </w:tabs>
        <w:rPr>
          <w:sz w:val="22"/>
          <w:szCs w:val="22"/>
        </w:rPr>
      </w:pPr>
      <w:r>
        <w:rPr>
          <w:sz w:val="22"/>
          <w:szCs w:val="22"/>
        </w:rPr>
        <w:t>Egyes baktériumokban kompetíció alakul ki a makrolidok, illetve a klóramfenikol és a linkozamidok között a riboszómák P-kötőhelyeiért; ez antagonista hatást eredményez.</w:t>
      </w:r>
    </w:p>
    <w:p w14:paraId="7811948D" w14:textId="77777777" w:rsidR="002A3AC9" w:rsidRDefault="00EC5E4D">
      <w:pPr>
        <w:tabs>
          <w:tab w:val="left" w:pos="567"/>
        </w:tabs>
        <w:rPr>
          <w:sz w:val="22"/>
          <w:szCs w:val="22"/>
        </w:rPr>
      </w:pPr>
      <w:r>
        <w:rPr>
          <w:sz w:val="22"/>
          <w:szCs w:val="22"/>
        </w:rPr>
        <w:t xml:space="preserve">A makrolidok döntően bakteriosztatikus hatású antibiotikumok. Mindazonáltal, az antibiotikum koncentrációjától, az inoculum csíraszámától, a mikrobák életciklusának stádiumától függően baktericid hatást is kifejthetnek. A klaritromicin például </w:t>
      </w:r>
      <w:r>
        <w:rPr>
          <w:i/>
          <w:sz w:val="22"/>
          <w:szCs w:val="22"/>
        </w:rPr>
        <w:t>S. pyogenes</w:t>
      </w:r>
      <w:r>
        <w:rPr>
          <w:sz w:val="22"/>
          <w:szCs w:val="22"/>
        </w:rPr>
        <w:t xml:space="preserve">, </w:t>
      </w:r>
      <w:r>
        <w:rPr>
          <w:i/>
          <w:sz w:val="22"/>
          <w:szCs w:val="22"/>
        </w:rPr>
        <w:t>S. pneumonia</w:t>
      </w:r>
      <w:r>
        <w:rPr>
          <w:sz w:val="22"/>
          <w:szCs w:val="22"/>
        </w:rPr>
        <w:t xml:space="preserve">e és </w:t>
      </w:r>
      <w:r>
        <w:rPr>
          <w:i/>
          <w:sz w:val="22"/>
          <w:szCs w:val="22"/>
        </w:rPr>
        <w:t>M. catarrhalis</w:t>
      </w:r>
      <w:r>
        <w:rPr>
          <w:sz w:val="22"/>
          <w:szCs w:val="22"/>
        </w:rPr>
        <w:t xml:space="preserve"> ellen bizonyul baktericid hatásúnak.</w:t>
      </w:r>
    </w:p>
    <w:p w14:paraId="557CED71" w14:textId="77777777" w:rsidR="002A3AC9" w:rsidRDefault="00EC5E4D">
      <w:pPr>
        <w:tabs>
          <w:tab w:val="left" w:pos="567"/>
        </w:tabs>
        <w:rPr>
          <w:sz w:val="22"/>
          <w:szCs w:val="22"/>
        </w:rPr>
      </w:pPr>
      <w:r>
        <w:rPr>
          <w:sz w:val="22"/>
          <w:szCs w:val="22"/>
        </w:rPr>
        <w:t>Az eritromicinnel ezidáig elvégzett kísérletek eredményei alapján a makrolid-típusú antibiotikumok antimikrobás hatékonyságát a lokális koncentráció/MIC hányados értéke jelzi a legmegbízhatóbban.</w:t>
      </w:r>
    </w:p>
    <w:p w14:paraId="34ADEA95" w14:textId="77777777" w:rsidR="002A3AC9" w:rsidRDefault="002A3AC9">
      <w:pPr>
        <w:tabs>
          <w:tab w:val="left" w:pos="567"/>
        </w:tabs>
        <w:rPr>
          <w:sz w:val="22"/>
          <w:szCs w:val="22"/>
        </w:rPr>
      </w:pPr>
    </w:p>
    <w:p w14:paraId="0F0D2A80" w14:textId="77777777" w:rsidR="002A3AC9" w:rsidRDefault="00EC5E4D">
      <w:pPr>
        <w:pStyle w:val="03"/>
        <w:tabs>
          <w:tab w:val="left" w:pos="567"/>
        </w:tabs>
        <w:spacing w:before="0" w:after="0" w:line="240" w:lineRule="auto"/>
        <w:ind w:firstLine="0"/>
        <w:jc w:val="left"/>
        <w:rPr>
          <w:b w:val="0"/>
          <w:i w:val="0"/>
          <w:sz w:val="22"/>
          <w:szCs w:val="22"/>
          <w:u w:val="single"/>
        </w:rPr>
      </w:pPr>
      <w:r>
        <w:rPr>
          <w:b w:val="0"/>
          <w:i w:val="0"/>
          <w:sz w:val="22"/>
          <w:szCs w:val="22"/>
          <w:u w:val="single"/>
        </w:rPr>
        <w:t>Hatásspektrum</w:t>
      </w:r>
    </w:p>
    <w:p w14:paraId="07243836" w14:textId="77777777" w:rsidR="002A3AC9" w:rsidRDefault="00EC5E4D">
      <w:pPr>
        <w:tabs>
          <w:tab w:val="left" w:pos="567"/>
        </w:tabs>
        <w:rPr>
          <w:sz w:val="22"/>
          <w:szCs w:val="22"/>
        </w:rPr>
      </w:pPr>
      <w:r>
        <w:rPr>
          <w:sz w:val="22"/>
          <w:szCs w:val="22"/>
        </w:rPr>
        <w:t>A klaritromicin számos, klinikai szempontból jelentős Gram-pozitív és Gram-negatív baktériumra – többek között aerobokra, anaerobokra vagy fakultatív anaerobokra, egyéb baktériumokra (Mycoplasmákra, Ureaplasmákra, Chlamydiákra és Legionellákra), valamint atípusos Mycobakteriumokra bakteriosztatikus vagy baktericid hatást fejt ki.</w:t>
      </w:r>
    </w:p>
    <w:p w14:paraId="138D1C94" w14:textId="77777777" w:rsidR="002A3AC9" w:rsidRDefault="002A3AC9">
      <w:pPr>
        <w:tabs>
          <w:tab w:val="left" w:pos="567"/>
        </w:tabs>
        <w:rPr>
          <w:sz w:val="22"/>
          <w:szCs w:val="22"/>
        </w:rPr>
      </w:pPr>
    </w:p>
    <w:p w14:paraId="278E0CA5" w14:textId="77777777" w:rsidR="002A3AC9" w:rsidRDefault="00EC5E4D">
      <w:pPr>
        <w:tabs>
          <w:tab w:val="left" w:pos="567"/>
        </w:tabs>
        <w:rPr>
          <w:sz w:val="22"/>
          <w:szCs w:val="22"/>
        </w:rPr>
      </w:pPr>
      <w:r>
        <w:rPr>
          <w:sz w:val="22"/>
          <w:szCs w:val="22"/>
        </w:rPr>
        <w:t xml:space="preserve">A mikrobák </w:t>
      </w:r>
      <w:r>
        <w:rPr>
          <w:i/>
          <w:sz w:val="22"/>
          <w:szCs w:val="22"/>
        </w:rPr>
        <w:t>in vitro</w:t>
      </w:r>
      <w:r>
        <w:rPr>
          <w:sz w:val="22"/>
          <w:szCs w:val="22"/>
        </w:rPr>
        <w:t xml:space="preserve"> érzékenysége földrajzi régiónként, illetve az antibiotikum-érzékenység meghatározására alkalmazott laboratóriumi eljárástól függően változó.</w:t>
      </w:r>
    </w:p>
    <w:p w14:paraId="0F87D63C" w14:textId="77777777" w:rsidR="002A3AC9" w:rsidRDefault="002A3AC9">
      <w:pPr>
        <w:tabs>
          <w:tab w:val="left" w:pos="567"/>
        </w:tabs>
        <w:rPr>
          <w:sz w:val="22"/>
          <w:szCs w:val="22"/>
        </w:rPr>
      </w:pPr>
    </w:p>
    <w:p w14:paraId="6932696D" w14:textId="77777777" w:rsidR="002A3AC9" w:rsidRDefault="00EC5E4D">
      <w:pPr>
        <w:tabs>
          <w:tab w:val="left" w:pos="567"/>
        </w:tabs>
        <w:rPr>
          <w:sz w:val="22"/>
          <w:szCs w:val="22"/>
        </w:rPr>
      </w:pPr>
      <w:r>
        <w:rPr>
          <w:b/>
          <w:sz w:val="22"/>
          <w:szCs w:val="22"/>
        </w:rPr>
        <w:t>1. táblázat:</w:t>
      </w:r>
      <w:r>
        <w:rPr>
          <w:sz w:val="22"/>
          <w:szCs w:val="22"/>
        </w:rPr>
        <w:t xml:space="preserve"> Klaritromicinre érzékeny mikrobák.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9"/>
      </w:tblGrid>
      <w:tr w:rsidR="002A3AC9" w14:paraId="745A555C" w14:textId="77777777">
        <w:trPr>
          <w:trHeight w:val="397"/>
        </w:trPr>
        <w:tc>
          <w:tcPr>
            <w:tcW w:w="9212" w:type="dxa"/>
            <w:vAlign w:val="center"/>
          </w:tcPr>
          <w:p w14:paraId="4E036C30" w14:textId="77777777" w:rsidR="002A3AC9" w:rsidRDefault="00EC5E4D">
            <w:pPr>
              <w:rPr>
                <w:b/>
                <w:sz w:val="22"/>
                <w:szCs w:val="22"/>
              </w:rPr>
            </w:pPr>
            <w:r>
              <w:rPr>
                <w:b/>
                <w:sz w:val="22"/>
                <w:szCs w:val="22"/>
              </w:rPr>
              <w:t>Általában érzékeny fajok</w:t>
            </w:r>
          </w:p>
        </w:tc>
      </w:tr>
      <w:tr w:rsidR="002A3AC9" w14:paraId="74267295" w14:textId="77777777">
        <w:tc>
          <w:tcPr>
            <w:tcW w:w="9212" w:type="dxa"/>
          </w:tcPr>
          <w:p w14:paraId="4889A827" w14:textId="77777777" w:rsidR="002A3AC9" w:rsidRDefault="00EC5E4D">
            <w:pPr>
              <w:rPr>
                <w:b/>
                <w:i/>
                <w:sz w:val="22"/>
                <w:szCs w:val="22"/>
              </w:rPr>
            </w:pPr>
            <w:r>
              <w:rPr>
                <w:b/>
                <w:i/>
                <w:sz w:val="22"/>
                <w:szCs w:val="22"/>
              </w:rPr>
              <w:t>Aerob Gram-pozitív mikroorganizmusok</w:t>
            </w:r>
          </w:p>
          <w:p w14:paraId="6404B236" w14:textId="77777777" w:rsidR="002A3AC9" w:rsidRDefault="00EC5E4D">
            <w:pPr>
              <w:rPr>
                <w:sz w:val="22"/>
                <w:szCs w:val="22"/>
              </w:rPr>
            </w:pPr>
            <w:r>
              <w:rPr>
                <w:i/>
                <w:iCs/>
                <w:sz w:val="22"/>
                <w:szCs w:val="22"/>
              </w:rPr>
              <w:t>Staphylococcus aureus</w:t>
            </w:r>
            <w:r>
              <w:rPr>
                <w:sz w:val="22"/>
                <w:szCs w:val="22"/>
              </w:rPr>
              <w:t xml:space="preserve"> (meticillin-érzékeny)</w:t>
            </w:r>
          </w:p>
          <w:p w14:paraId="2335BDDA" w14:textId="77777777" w:rsidR="002A3AC9" w:rsidRDefault="00EC5E4D">
            <w:pPr>
              <w:rPr>
                <w:sz w:val="22"/>
                <w:szCs w:val="22"/>
              </w:rPr>
            </w:pPr>
            <w:r>
              <w:rPr>
                <w:i/>
                <w:iCs/>
                <w:sz w:val="22"/>
                <w:szCs w:val="22"/>
              </w:rPr>
              <w:t>Streptococcus viridans</w:t>
            </w:r>
          </w:p>
          <w:p w14:paraId="5FC10DD0" w14:textId="77777777" w:rsidR="002A3AC9" w:rsidRDefault="00EC5E4D">
            <w:pPr>
              <w:rPr>
                <w:i/>
                <w:iCs/>
                <w:sz w:val="22"/>
                <w:szCs w:val="22"/>
              </w:rPr>
            </w:pPr>
            <w:r>
              <w:rPr>
                <w:i/>
                <w:iCs/>
                <w:sz w:val="22"/>
                <w:szCs w:val="22"/>
              </w:rPr>
              <w:t>Listeria monocytogenes</w:t>
            </w:r>
          </w:p>
          <w:p w14:paraId="0C3BD88E" w14:textId="77777777" w:rsidR="002A3AC9" w:rsidRDefault="00EC5E4D">
            <w:pPr>
              <w:rPr>
                <w:iCs/>
                <w:sz w:val="22"/>
                <w:szCs w:val="22"/>
              </w:rPr>
            </w:pPr>
            <w:r>
              <w:rPr>
                <w:iCs/>
                <w:sz w:val="22"/>
                <w:szCs w:val="22"/>
              </w:rPr>
              <w:t>Bacillus fajok</w:t>
            </w:r>
          </w:p>
          <w:p w14:paraId="6EEF79F4" w14:textId="77777777" w:rsidR="002A3AC9" w:rsidRDefault="00EC5E4D">
            <w:pPr>
              <w:rPr>
                <w:sz w:val="22"/>
                <w:szCs w:val="22"/>
              </w:rPr>
            </w:pPr>
            <w:r>
              <w:rPr>
                <w:iCs/>
                <w:sz w:val="22"/>
                <w:szCs w:val="22"/>
              </w:rPr>
              <w:t>Corynebacterium fajok</w:t>
            </w:r>
          </w:p>
        </w:tc>
      </w:tr>
      <w:tr w:rsidR="002A3AC9" w14:paraId="3A1EDF82" w14:textId="77777777">
        <w:tc>
          <w:tcPr>
            <w:tcW w:w="9212" w:type="dxa"/>
          </w:tcPr>
          <w:p w14:paraId="0206C288" w14:textId="77777777" w:rsidR="002A3AC9" w:rsidRDefault="00EC5E4D">
            <w:pPr>
              <w:rPr>
                <w:b/>
                <w:i/>
                <w:sz w:val="22"/>
                <w:szCs w:val="22"/>
              </w:rPr>
            </w:pPr>
            <w:r>
              <w:rPr>
                <w:b/>
                <w:i/>
                <w:sz w:val="22"/>
                <w:szCs w:val="22"/>
              </w:rPr>
              <w:t>Aerob Gram-negatív mikroorganizmusok</w:t>
            </w:r>
          </w:p>
          <w:p w14:paraId="58618D62" w14:textId="77777777" w:rsidR="002A3AC9" w:rsidRDefault="00EC5E4D">
            <w:pPr>
              <w:rPr>
                <w:i/>
                <w:iCs/>
                <w:sz w:val="22"/>
                <w:szCs w:val="22"/>
              </w:rPr>
            </w:pPr>
            <w:r>
              <w:rPr>
                <w:i/>
                <w:iCs/>
                <w:sz w:val="22"/>
                <w:szCs w:val="22"/>
              </w:rPr>
              <w:t>Haemophilus parainfluenzae</w:t>
            </w:r>
          </w:p>
          <w:p w14:paraId="3179C85D" w14:textId="77777777" w:rsidR="002A3AC9" w:rsidRDefault="00EC5E4D">
            <w:pPr>
              <w:rPr>
                <w:i/>
                <w:iCs/>
                <w:sz w:val="22"/>
                <w:szCs w:val="22"/>
              </w:rPr>
            </w:pPr>
            <w:r>
              <w:rPr>
                <w:i/>
                <w:iCs/>
                <w:sz w:val="22"/>
                <w:szCs w:val="22"/>
              </w:rPr>
              <w:t>Legionella pneumophila</w:t>
            </w:r>
          </w:p>
          <w:p w14:paraId="28086783" w14:textId="77777777" w:rsidR="002A3AC9" w:rsidRDefault="00EC5E4D">
            <w:pPr>
              <w:rPr>
                <w:i/>
                <w:iCs/>
                <w:sz w:val="22"/>
                <w:szCs w:val="22"/>
              </w:rPr>
            </w:pPr>
            <w:r>
              <w:rPr>
                <w:i/>
                <w:iCs/>
                <w:sz w:val="22"/>
                <w:szCs w:val="22"/>
              </w:rPr>
              <w:t>Bordetella pertussis</w:t>
            </w:r>
          </w:p>
          <w:p w14:paraId="6577CA41" w14:textId="77777777" w:rsidR="002A3AC9" w:rsidRDefault="00EC5E4D">
            <w:pPr>
              <w:rPr>
                <w:i/>
                <w:iCs/>
                <w:sz w:val="22"/>
                <w:szCs w:val="22"/>
              </w:rPr>
            </w:pPr>
            <w:r>
              <w:rPr>
                <w:i/>
                <w:iCs/>
                <w:sz w:val="22"/>
                <w:szCs w:val="22"/>
              </w:rPr>
              <w:t>Campylobacter jejuni</w:t>
            </w:r>
          </w:p>
          <w:p w14:paraId="3F970C42" w14:textId="77777777" w:rsidR="002A3AC9" w:rsidRDefault="00EC5E4D">
            <w:pPr>
              <w:rPr>
                <w:i/>
                <w:iCs/>
                <w:sz w:val="22"/>
                <w:szCs w:val="22"/>
              </w:rPr>
            </w:pPr>
            <w:r>
              <w:rPr>
                <w:i/>
                <w:iCs/>
                <w:sz w:val="22"/>
                <w:szCs w:val="22"/>
              </w:rPr>
              <w:t>Neisseria meningitidis</w:t>
            </w:r>
          </w:p>
          <w:p w14:paraId="20BE285B" w14:textId="77777777" w:rsidR="002A3AC9" w:rsidRDefault="00EC5E4D">
            <w:pPr>
              <w:rPr>
                <w:sz w:val="22"/>
                <w:szCs w:val="22"/>
              </w:rPr>
            </w:pPr>
            <w:r>
              <w:rPr>
                <w:i/>
                <w:iCs/>
                <w:sz w:val="22"/>
                <w:szCs w:val="22"/>
              </w:rPr>
              <w:t>Pasteurella multocida</w:t>
            </w:r>
          </w:p>
        </w:tc>
      </w:tr>
      <w:tr w:rsidR="002A3AC9" w14:paraId="3890FC08" w14:textId="77777777">
        <w:tc>
          <w:tcPr>
            <w:tcW w:w="9212" w:type="dxa"/>
          </w:tcPr>
          <w:p w14:paraId="4D715DC2" w14:textId="77777777" w:rsidR="002A3AC9" w:rsidRDefault="00EC5E4D">
            <w:pPr>
              <w:keepNext/>
              <w:rPr>
                <w:b/>
                <w:i/>
                <w:sz w:val="22"/>
                <w:szCs w:val="22"/>
              </w:rPr>
            </w:pPr>
            <w:r>
              <w:rPr>
                <w:b/>
                <w:i/>
                <w:sz w:val="22"/>
                <w:szCs w:val="22"/>
              </w:rPr>
              <w:lastRenderedPageBreak/>
              <w:t>Anaerob mikroorganizmusok</w:t>
            </w:r>
          </w:p>
          <w:p w14:paraId="1126CC06" w14:textId="77777777" w:rsidR="002A3AC9" w:rsidRDefault="00EC5E4D">
            <w:pPr>
              <w:keepNext/>
              <w:rPr>
                <w:i/>
                <w:iCs/>
                <w:sz w:val="22"/>
                <w:szCs w:val="22"/>
              </w:rPr>
            </w:pPr>
            <w:r>
              <w:rPr>
                <w:sz w:val="22"/>
                <w:szCs w:val="22"/>
              </w:rPr>
              <w:t>Makrolid-érzékenyek</w:t>
            </w:r>
          </w:p>
          <w:p w14:paraId="186DAEEA" w14:textId="77777777" w:rsidR="002A3AC9" w:rsidRDefault="00EC5E4D">
            <w:pPr>
              <w:keepNext/>
              <w:rPr>
                <w:i/>
                <w:iCs/>
                <w:sz w:val="22"/>
                <w:szCs w:val="22"/>
              </w:rPr>
            </w:pPr>
            <w:r>
              <w:rPr>
                <w:i/>
                <w:iCs/>
                <w:sz w:val="22"/>
                <w:szCs w:val="22"/>
              </w:rPr>
              <w:t>Bacteroides fragilis</w:t>
            </w:r>
          </w:p>
          <w:p w14:paraId="42DC0B58" w14:textId="77777777" w:rsidR="002A3AC9" w:rsidRDefault="00EC5E4D">
            <w:pPr>
              <w:keepNext/>
              <w:rPr>
                <w:sz w:val="22"/>
                <w:szCs w:val="22"/>
              </w:rPr>
            </w:pPr>
            <w:r>
              <w:rPr>
                <w:i/>
                <w:iCs/>
                <w:sz w:val="22"/>
                <w:szCs w:val="22"/>
              </w:rPr>
              <w:t>Clostridium perfringens</w:t>
            </w:r>
          </w:p>
          <w:p w14:paraId="0EABFBA0" w14:textId="77777777" w:rsidR="002A3AC9" w:rsidRDefault="00EC5E4D">
            <w:pPr>
              <w:keepNext/>
              <w:rPr>
                <w:sz w:val="22"/>
                <w:szCs w:val="22"/>
              </w:rPr>
            </w:pPr>
            <w:r>
              <w:rPr>
                <w:sz w:val="22"/>
                <w:szCs w:val="22"/>
              </w:rPr>
              <w:t>Peptococcus fajok</w:t>
            </w:r>
          </w:p>
          <w:p w14:paraId="76E0D5A1" w14:textId="77777777" w:rsidR="002A3AC9" w:rsidRDefault="00EC5E4D">
            <w:pPr>
              <w:keepNext/>
              <w:rPr>
                <w:sz w:val="22"/>
                <w:szCs w:val="22"/>
              </w:rPr>
            </w:pPr>
            <w:r>
              <w:rPr>
                <w:sz w:val="22"/>
                <w:szCs w:val="22"/>
              </w:rPr>
              <w:t>Peptostreptococcus fajok</w:t>
            </w:r>
          </w:p>
          <w:p w14:paraId="2A707DA5" w14:textId="77777777" w:rsidR="002A3AC9" w:rsidRDefault="00EC5E4D">
            <w:pPr>
              <w:keepNext/>
              <w:rPr>
                <w:b/>
                <w:i/>
                <w:sz w:val="22"/>
                <w:szCs w:val="22"/>
              </w:rPr>
            </w:pPr>
            <w:r>
              <w:rPr>
                <w:i/>
                <w:iCs/>
                <w:sz w:val="22"/>
                <w:szCs w:val="22"/>
              </w:rPr>
              <w:t>Propionibacterium acnes</w:t>
            </w:r>
          </w:p>
        </w:tc>
      </w:tr>
      <w:tr w:rsidR="002A3AC9" w14:paraId="16D8D0BB" w14:textId="77777777">
        <w:tc>
          <w:tcPr>
            <w:tcW w:w="9212" w:type="dxa"/>
          </w:tcPr>
          <w:p w14:paraId="2D21979F" w14:textId="77777777" w:rsidR="002A3AC9" w:rsidRDefault="00EC5E4D">
            <w:pPr>
              <w:keepNext/>
              <w:rPr>
                <w:b/>
                <w:i/>
                <w:sz w:val="22"/>
                <w:szCs w:val="22"/>
              </w:rPr>
            </w:pPr>
            <w:r>
              <w:rPr>
                <w:b/>
                <w:i/>
                <w:sz w:val="22"/>
                <w:szCs w:val="22"/>
              </w:rPr>
              <w:t>„Egyéb” mikroorganizmusok</w:t>
            </w:r>
          </w:p>
          <w:p w14:paraId="7CC28AFF" w14:textId="77777777" w:rsidR="002A3AC9" w:rsidRDefault="00EC5E4D">
            <w:pPr>
              <w:keepNext/>
              <w:rPr>
                <w:i/>
                <w:iCs/>
                <w:sz w:val="22"/>
                <w:szCs w:val="22"/>
              </w:rPr>
            </w:pPr>
            <w:r>
              <w:rPr>
                <w:i/>
                <w:iCs/>
                <w:sz w:val="22"/>
                <w:szCs w:val="22"/>
              </w:rPr>
              <w:t>Chlamydia trachomatis</w:t>
            </w:r>
          </w:p>
          <w:p w14:paraId="4E5B497A" w14:textId="77777777" w:rsidR="002A3AC9" w:rsidRDefault="00EC5E4D">
            <w:pPr>
              <w:keepNext/>
              <w:rPr>
                <w:iCs/>
                <w:sz w:val="22"/>
                <w:szCs w:val="22"/>
              </w:rPr>
            </w:pPr>
            <w:r>
              <w:rPr>
                <w:i/>
                <w:iCs/>
                <w:sz w:val="22"/>
                <w:szCs w:val="22"/>
              </w:rPr>
              <w:t>Mycobacterium avium</w:t>
            </w:r>
            <w:r>
              <w:rPr>
                <w:iCs/>
                <w:sz w:val="22"/>
                <w:szCs w:val="22"/>
              </w:rPr>
              <w:t xml:space="preserve"> komplex</w:t>
            </w:r>
          </w:p>
          <w:p w14:paraId="1F1EBC71" w14:textId="77777777" w:rsidR="002A3AC9" w:rsidRDefault="00EC5E4D">
            <w:pPr>
              <w:keepNext/>
              <w:rPr>
                <w:i/>
                <w:iCs/>
                <w:sz w:val="22"/>
                <w:szCs w:val="22"/>
              </w:rPr>
            </w:pPr>
            <w:r>
              <w:rPr>
                <w:i/>
                <w:iCs/>
                <w:sz w:val="22"/>
                <w:szCs w:val="22"/>
              </w:rPr>
              <w:t>Mycobacterium leprae</w:t>
            </w:r>
          </w:p>
          <w:p w14:paraId="792FFCD6" w14:textId="77777777" w:rsidR="002A3AC9" w:rsidRDefault="00EC5E4D">
            <w:pPr>
              <w:keepNext/>
              <w:rPr>
                <w:i/>
                <w:iCs/>
                <w:sz w:val="22"/>
                <w:szCs w:val="22"/>
              </w:rPr>
            </w:pPr>
            <w:r>
              <w:rPr>
                <w:i/>
                <w:iCs/>
                <w:sz w:val="22"/>
                <w:szCs w:val="22"/>
              </w:rPr>
              <w:t>Mycobacterium kansasi</w:t>
            </w:r>
          </w:p>
          <w:p w14:paraId="41038A04" w14:textId="77777777" w:rsidR="002A3AC9" w:rsidRDefault="00EC5E4D">
            <w:pPr>
              <w:keepNext/>
              <w:rPr>
                <w:i/>
                <w:iCs/>
                <w:sz w:val="22"/>
                <w:szCs w:val="22"/>
              </w:rPr>
            </w:pPr>
            <w:r>
              <w:rPr>
                <w:i/>
                <w:iCs/>
                <w:sz w:val="22"/>
                <w:szCs w:val="22"/>
              </w:rPr>
              <w:t>Mycobacterium chelonae</w:t>
            </w:r>
          </w:p>
          <w:p w14:paraId="3FD28110" w14:textId="77777777" w:rsidR="002A3AC9" w:rsidRDefault="00EC5E4D">
            <w:pPr>
              <w:keepNext/>
              <w:rPr>
                <w:i/>
                <w:iCs/>
                <w:sz w:val="22"/>
                <w:szCs w:val="22"/>
              </w:rPr>
            </w:pPr>
            <w:r>
              <w:rPr>
                <w:i/>
                <w:iCs/>
                <w:sz w:val="22"/>
                <w:szCs w:val="22"/>
              </w:rPr>
              <w:t>Mycobacterium fortuitum</w:t>
            </w:r>
          </w:p>
          <w:p w14:paraId="09AE12D7" w14:textId="77777777" w:rsidR="002A3AC9" w:rsidRDefault="00EC5E4D">
            <w:pPr>
              <w:keepNext/>
              <w:rPr>
                <w:i/>
                <w:iCs/>
                <w:sz w:val="22"/>
                <w:szCs w:val="22"/>
              </w:rPr>
            </w:pPr>
            <w:r>
              <w:rPr>
                <w:i/>
                <w:iCs/>
                <w:sz w:val="22"/>
                <w:szCs w:val="22"/>
              </w:rPr>
              <w:t>Mycobacterium intracellulare</w:t>
            </w:r>
          </w:p>
          <w:p w14:paraId="76157547" w14:textId="77777777" w:rsidR="002A3AC9" w:rsidRDefault="00EC5E4D">
            <w:pPr>
              <w:keepNext/>
              <w:rPr>
                <w:i/>
                <w:iCs/>
                <w:sz w:val="22"/>
                <w:szCs w:val="22"/>
              </w:rPr>
            </w:pPr>
            <w:r>
              <w:rPr>
                <w:i/>
                <w:iCs/>
                <w:sz w:val="22"/>
                <w:szCs w:val="22"/>
              </w:rPr>
              <w:t>Mycobacterium xenopi</w:t>
            </w:r>
          </w:p>
          <w:p w14:paraId="30412752" w14:textId="77777777" w:rsidR="002A3AC9" w:rsidRDefault="00EC5E4D">
            <w:pPr>
              <w:keepNext/>
              <w:rPr>
                <w:i/>
                <w:iCs/>
                <w:sz w:val="22"/>
                <w:szCs w:val="22"/>
              </w:rPr>
            </w:pPr>
            <w:r>
              <w:rPr>
                <w:i/>
                <w:iCs/>
                <w:sz w:val="22"/>
                <w:szCs w:val="22"/>
              </w:rPr>
              <w:t>Mycoplasma pneumoniae</w:t>
            </w:r>
          </w:p>
          <w:p w14:paraId="4E8E3873" w14:textId="77777777" w:rsidR="002A3AC9" w:rsidRDefault="00EC5E4D">
            <w:pPr>
              <w:keepNext/>
              <w:rPr>
                <w:i/>
                <w:iCs/>
                <w:sz w:val="22"/>
                <w:szCs w:val="22"/>
              </w:rPr>
            </w:pPr>
            <w:r>
              <w:rPr>
                <w:i/>
                <w:iCs/>
                <w:sz w:val="22"/>
                <w:szCs w:val="22"/>
              </w:rPr>
              <w:t>Ureaplasma urealyticum</w:t>
            </w:r>
          </w:p>
          <w:p w14:paraId="41186E71" w14:textId="77777777" w:rsidR="002A3AC9" w:rsidRDefault="00EC5E4D">
            <w:pPr>
              <w:keepNext/>
              <w:rPr>
                <w:i/>
                <w:iCs/>
                <w:sz w:val="22"/>
                <w:szCs w:val="22"/>
              </w:rPr>
            </w:pPr>
            <w:r>
              <w:rPr>
                <w:i/>
                <w:iCs/>
                <w:sz w:val="22"/>
                <w:szCs w:val="22"/>
              </w:rPr>
              <w:t>Borrelia burgdorferi</w:t>
            </w:r>
          </w:p>
          <w:p w14:paraId="6151B6A5" w14:textId="77777777" w:rsidR="002A3AC9" w:rsidRDefault="00EC5E4D">
            <w:pPr>
              <w:keepNext/>
              <w:rPr>
                <w:b/>
                <w:i/>
                <w:sz w:val="22"/>
                <w:szCs w:val="22"/>
              </w:rPr>
            </w:pPr>
            <w:r>
              <w:rPr>
                <w:i/>
                <w:iCs/>
                <w:sz w:val="22"/>
                <w:szCs w:val="22"/>
              </w:rPr>
              <w:t>Toxoplasma gondii</w:t>
            </w:r>
          </w:p>
        </w:tc>
      </w:tr>
      <w:tr w:rsidR="002A3AC9" w14:paraId="35099FC0" w14:textId="77777777">
        <w:trPr>
          <w:trHeight w:val="397"/>
        </w:trPr>
        <w:tc>
          <w:tcPr>
            <w:tcW w:w="9212" w:type="dxa"/>
            <w:vAlign w:val="center"/>
          </w:tcPr>
          <w:p w14:paraId="16CC41EB" w14:textId="77777777" w:rsidR="002A3AC9" w:rsidRDefault="00EC5E4D">
            <w:pPr>
              <w:rPr>
                <w:b/>
                <w:sz w:val="22"/>
                <w:szCs w:val="22"/>
              </w:rPr>
            </w:pPr>
            <w:r>
              <w:rPr>
                <w:b/>
                <w:sz w:val="22"/>
                <w:szCs w:val="22"/>
              </w:rPr>
              <w:t>Fajok, amelyeknél a szerzett rezisztencia probléma lehet</w:t>
            </w:r>
          </w:p>
        </w:tc>
      </w:tr>
      <w:tr w:rsidR="002A3AC9" w14:paraId="389950B1" w14:textId="77777777">
        <w:tc>
          <w:tcPr>
            <w:tcW w:w="9212" w:type="dxa"/>
          </w:tcPr>
          <w:p w14:paraId="4D425840" w14:textId="77777777" w:rsidR="002A3AC9" w:rsidRDefault="00EC5E4D">
            <w:pPr>
              <w:keepNext/>
              <w:rPr>
                <w:sz w:val="22"/>
                <w:szCs w:val="22"/>
              </w:rPr>
            </w:pPr>
            <w:r>
              <w:rPr>
                <w:i/>
                <w:iCs/>
                <w:sz w:val="22"/>
                <w:szCs w:val="22"/>
              </w:rPr>
              <w:t>Staphylococcus aureus</w:t>
            </w:r>
            <w:r>
              <w:rPr>
                <w:sz w:val="22"/>
                <w:szCs w:val="22"/>
              </w:rPr>
              <w:t xml:space="preserve"> (meticillin-érzékeny)</w:t>
            </w:r>
          </w:p>
          <w:p w14:paraId="05405E61" w14:textId="77777777" w:rsidR="002A3AC9" w:rsidRDefault="00EC5E4D">
            <w:pPr>
              <w:keepNext/>
              <w:rPr>
                <w:i/>
                <w:iCs/>
                <w:sz w:val="22"/>
                <w:szCs w:val="22"/>
              </w:rPr>
            </w:pPr>
            <w:r>
              <w:rPr>
                <w:i/>
                <w:iCs/>
                <w:sz w:val="22"/>
                <w:szCs w:val="22"/>
              </w:rPr>
              <w:t>Haemophilus influenzae</w:t>
            </w:r>
          </w:p>
          <w:p w14:paraId="11715B86" w14:textId="77777777" w:rsidR="002A3AC9" w:rsidRDefault="00EC5E4D">
            <w:pPr>
              <w:keepNext/>
              <w:rPr>
                <w:i/>
                <w:iCs/>
                <w:sz w:val="22"/>
                <w:szCs w:val="22"/>
              </w:rPr>
            </w:pPr>
            <w:r>
              <w:rPr>
                <w:i/>
                <w:iCs/>
                <w:sz w:val="22"/>
                <w:szCs w:val="22"/>
              </w:rPr>
              <w:t>Streptococcus pneumoniae</w:t>
            </w:r>
          </w:p>
          <w:p w14:paraId="44D0E491" w14:textId="77777777" w:rsidR="002A3AC9" w:rsidRDefault="00EC5E4D">
            <w:pPr>
              <w:keepNext/>
              <w:rPr>
                <w:i/>
                <w:iCs/>
                <w:sz w:val="22"/>
                <w:szCs w:val="22"/>
              </w:rPr>
            </w:pPr>
            <w:r>
              <w:rPr>
                <w:i/>
                <w:iCs/>
                <w:sz w:val="22"/>
                <w:szCs w:val="22"/>
              </w:rPr>
              <w:t>Streptococcus pyogenes</w:t>
            </w:r>
          </w:p>
          <w:p w14:paraId="1CDD740E" w14:textId="77777777" w:rsidR="002A3AC9" w:rsidRDefault="00EC5E4D">
            <w:pPr>
              <w:keepNext/>
              <w:rPr>
                <w:i/>
                <w:iCs/>
                <w:sz w:val="22"/>
                <w:szCs w:val="22"/>
              </w:rPr>
            </w:pPr>
            <w:r>
              <w:rPr>
                <w:i/>
                <w:iCs/>
                <w:sz w:val="22"/>
                <w:szCs w:val="22"/>
              </w:rPr>
              <w:t>Streptococcus agalactiae</w:t>
            </w:r>
          </w:p>
          <w:p w14:paraId="76BA0DB5" w14:textId="77777777" w:rsidR="002A3AC9" w:rsidRDefault="00EC5E4D">
            <w:pPr>
              <w:keepNext/>
              <w:rPr>
                <w:i/>
                <w:iCs/>
                <w:sz w:val="22"/>
                <w:szCs w:val="22"/>
              </w:rPr>
            </w:pPr>
            <w:r>
              <w:rPr>
                <w:i/>
                <w:iCs/>
                <w:sz w:val="22"/>
                <w:szCs w:val="22"/>
              </w:rPr>
              <w:t>Moraxella (Branhamella) catarrhalis</w:t>
            </w:r>
          </w:p>
          <w:p w14:paraId="5AACC3AD" w14:textId="77777777" w:rsidR="002A3AC9" w:rsidRDefault="00EC5E4D">
            <w:pPr>
              <w:keepNext/>
              <w:rPr>
                <w:sz w:val="22"/>
                <w:szCs w:val="22"/>
              </w:rPr>
            </w:pPr>
            <w:r>
              <w:rPr>
                <w:i/>
                <w:iCs/>
                <w:sz w:val="22"/>
                <w:szCs w:val="22"/>
              </w:rPr>
              <w:t>Neisseria gonorrhoeae</w:t>
            </w:r>
          </w:p>
          <w:p w14:paraId="30DBA57B" w14:textId="77777777" w:rsidR="002A3AC9" w:rsidRDefault="00EC5E4D">
            <w:pPr>
              <w:keepNext/>
              <w:rPr>
                <w:sz w:val="22"/>
                <w:szCs w:val="22"/>
              </w:rPr>
            </w:pPr>
            <w:r>
              <w:rPr>
                <w:i/>
                <w:iCs/>
                <w:sz w:val="22"/>
                <w:szCs w:val="22"/>
              </w:rPr>
              <w:t>Helicobacter pylori</w:t>
            </w:r>
          </w:p>
          <w:p w14:paraId="75682D28" w14:textId="77777777" w:rsidR="002A3AC9" w:rsidRDefault="00EC5E4D">
            <w:pPr>
              <w:keepNext/>
              <w:rPr>
                <w:b/>
                <w:sz w:val="22"/>
                <w:szCs w:val="22"/>
              </w:rPr>
            </w:pPr>
            <w:r>
              <w:rPr>
                <w:sz w:val="22"/>
                <w:szCs w:val="22"/>
              </w:rPr>
              <w:t>Campylobacter fajok</w:t>
            </w:r>
          </w:p>
        </w:tc>
      </w:tr>
      <w:tr w:rsidR="002A3AC9" w14:paraId="1F6C39A2" w14:textId="77777777">
        <w:trPr>
          <w:trHeight w:val="397"/>
        </w:trPr>
        <w:tc>
          <w:tcPr>
            <w:tcW w:w="9212" w:type="dxa"/>
            <w:vAlign w:val="center"/>
          </w:tcPr>
          <w:p w14:paraId="6CB96533" w14:textId="77777777" w:rsidR="002A3AC9" w:rsidRDefault="00EC5E4D">
            <w:pPr>
              <w:rPr>
                <w:b/>
                <w:sz w:val="22"/>
                <w:szCs w:val="22"/>
              </w:rPr>
            </w:pPr>
            <w:r>
              <w:rPr>
                <w:b/>
                <w:sz w:val="22"/>
                <w:szCs w:val="22"/>
              </w:rPr>
              <w:t>Eleve rezisztens mikroorganizmusok</w:t>
            </w:r>
          </w:p>
        </w:tc>
      </w:tr>
      <w:tr w:rsidR="002A3AC9" w14:paraId="45890DFE" w14:textId="77777777">
        <w:tc>
          <w:tcPr>
            <w:tcW w:w="9212" w:type="dxa"/>
          </w:tcPr>
          <w:p w14:paraId="15EBC91B" w14:textId="77777777" w:rsidR="002A3AC9" w:rsidRDefault="00EC5E4D">
            <w:pPr>
              <w:rPr>
                <w:b/>
                <w:i/>
                <w:sz w:val="22"/>
                <w:szCs w:val="22"/>
              </w:rPr>
            </w:pPr>
            <w:r>
              <w:rPr>
                <w:b/>
                <w:i/>
                <w:sz w:val="22"/>
                <w:szCs w:val="22"/>
              </w:rPr>
              <w:t>Aerob Gram-pozitív mikroorganizmusok</w:t>
            </w:r>
          </w:p>
          <w:p w14:paraId="118ECEB4" w14:textId="77777777" w:rsidR="002A3AC9" w:rsidRDefault="00EC5E4D">
            <w:pPr>
              <w:rPr>
                <w:sz w:val="22"/>
                <w:szCs w:val="22"/>
              </w:rPr>
            </w:pPr>
            <w:r>
              <w:rPr>
                <w:sz w:val="22"/>
                <w:szCs w:val="22"/>
              </w:rPr>
              <w:t>A meticillin- és oxacillin-rezisztens Staphylococcusok legtöbb törzse</w:t>
            </w:r>
          </w:p>
          <w:p w14:paraId="2E9C8437" w14:textId="77777777" w:rsidR="002A3AC9" w:rsidRDefault="00EC5E4D">
            <w:pPr>
              <w:rPr>
                <w:b/>
                <w:sz w:val="22"/>
                <w:szCs w:val="22"/>
              </w:rPr>
            </w:pPr>
            <w:r>
              <w:rPr>
                <w:sz w:val="22"/>
                <w:szCs w:val="22"/>
              </w:rPr>
              <w:t>Enterococcus fajok</w:t>
            </w:r>
          </w:p>
        </w:tc>
      </w:tr>
    </w:tbl>
    <w:p w14:paraId="35EAA536" w14:textId="77777777" w:rsidR="002A3AC9" w:rsidRPr="00AC474F" w:rsidRDefault="002A3AC9">
      <w:pPr>
        <w:tabs>
          <w:tab w:val="left" w:pos="567"/>
        </w:tabs>
        <w:rPr>
          <w:bCs/>
          <w:sz w:val="22"/>
          <w:szCs w:val="22"/>
        </w:rPr>
      </w:pPr>
    </w:p>
    <w:p w14:paraId="05D0DD97" w14:textId="77777777" w:rsidR="002A3AC9" w:rsidRDefault="00EC5E4D">
      <w:pPr>
        <w:tabs>
          <w:tab w:val="left" w:pos="567"/>
        </w:tabs>
        <w:rPr>
          <w:sz w:val="22"/>
          <w:szCs w:val="22"/>
        </w:rPr>
      </w:pPr>
      <w:r>
        <w:rPr>
          <w:sz w:val="22"/>
          <w:szCs w:val="22"/>
        </w:rPr>
        <w:t xml:space="preserve">A </w:t>
      </w:r>
      <w:r>
        <w:rPr>
          <w:i/>
          <w:sz w:val="22"/>
          <w:szCs w:val="22"/>
        </w:rPr>
        <w:t>Staphylococcus aureus</w:t>
      </w:r>
      <w:r>
        <w:rPr>
          <w:sz w:val="22"/>
          <w:szCs w:val="22"/>
        </w:rPr>
        <w:t xml:space="preserve"> és </w:t>
      </w:r>
      <w:r>
        <w:rPr>
          <w:i/>
          <w:sz w:val="22"/>
          <w:szCs w:val="22"/>
        </w:rPr>
        <w:t>S. epidermidis</w:t>
      </w:r>
      <w:r>
        <w:rPr>
          <w:sz w:val="22"/>
          <w:szCs w:val="22"/>
        </w:rPr>
        <w:t xml:space="preserve"> penicillinre és eritromicinre érzékeny törzsei ellen a klaritromicin is hatásos; az eritromicinre rezisztensekre viszont a klaritromicin sem hat. A klaritromicin A, B, C, G csoportú Streptococcusok, valamint </w:t>
      </w:r>
      <w:r>
        <w:rPr>
          <w:i/>
          <w:sz w:val="22"/>
          <w:szCs w:val="22"/>
        </w:rPr>
        <w:t>Streptococcus bovis</w:t>
      </w:r>
      <w:r>
        <w:rPr>
          <w:sz w:val="22"/>
          <w:szCs w:val="22"/>
        </w:rPr>
        <w:t xml:space="preserve"> ellen is </w:t>
      </w:r>
      <w:r>
        <w:rPr>
          <w:spacing w:val="-2"/>
          <w:sz w:val="22"/>
          <w:szCs w:val="22"/>
        </w:rPr>
        <w:t>hatásos. Az eritromicin</w:t>
      </w:r>
      <w:r>
        <w:rPr>
          <w:spacing w:val="-2"/>
          <w:sz w:val="22"/>
          <w:szCs w:val="22"/>
        </w:rPr>
        <w:noBreakHyphen/>
        <w:t xml:space="preserve">rezisztens törzsek kivételével a </w:t>
      </w:r>
      <w:r>
        <w:rPr>
          <w:i/>
          <w:spacing w:val="-2"/>
          <w:sz w:val="22"/>
          <w:szCs w:val="22"/>
        </w:rPr>
        <w:t>S. pneumoniae</w:t>
      </w:r>
      <w:r>
        <w:rPr>
          <w:spacing w:val="-2"/>
          <w:sz w:val="22"/>
          <w:szCs w:val="22"/>
        </w:rPr>
        <w:t xml:space="preserve"> is érzékeny klaritromicin</w:t>
      </w:r>
      <w:r>
        <w:rPr>
          <w:sz w:val="22"/>
          <w:szCs w:val="22"/>
        </w:rPr>
        <w:t>re. Az Enterococcusok többsége klaritromicinre rezisztens. Bacillus fajok ellen rendszerint a klaritromicin a leghatékonyabb makrolid-típusú antibiotikum (MIC</w:t>
      </w:r>
      <w:r>
        <w:rPr>
          <w:sz w:val="22"/>
          <w:szCs w:val="22"/>
          <w:vertAlign w:val="subscript"/>
        </w:rPr>
        <w:t>90 </w:t>
      </w:r>
      <w:r>
        <w:rPr>
          <w:sz w:val="22"/>
          <w:szCs w:val="22"/>
        </w:rPr>
        <w:t>= 0,12 mikrogramm/ml).</w:t>
      </w:r>
    </w:p>
    <w:p w14:paraId="38D19C95" w14:textId="77777777" w:rsidR="002A3AC9" w:rsidRDefault="00EC5E4D">
      <w:pPr>
        <w:tabs>
          <w:tab w:val="left" w:pos="567"/>
        </w:tabs>
        <w:rPr>
          <w:sz w:val="22"/>
          <w:szCs w:val="22"/>
        </w:rPr>
      </w:pPr>
      <w:r>
        <w:rPr>
          <w:sz w:val="22"/>
          <w:szCs w:val="22"/>
        </w:rPr>
        <w:t xml:space="preserve">Campylobacter fajok ellen közepes-nagy mértékben hatásos a klaritromicin, </w:t>
      </w:r>
      <w:r>
        <w:rPr>
          <w:i/>
          <w:sz w:val="22"/>
          <w:szCs w:val="22"/>
        </w:rPr>
        <w:t>Helicobacter pylori</w:t>
      </w:r>
      <w:r>
        <w:rPr>
          <w:sz w:val="22"/>
          <w:szCs w:val="22"/>
        </w:rPr>
        <w:t xml:space="preserve"> elleni aktivitása felülmúlja az eritromicinét. A Gram-negatív baktériumok közül rendkívül hatékonynak bizonyul </w:t>
      </w:r>
      <w:r>
        <w:rPr>
          <w:i/>
          <w:sz w:val="22"/>
          <w:szCs w:val="22"/>
        </w:rPr>
        <w:t>Bordetella pertussis</w:t>
      </w:r>
      <w:r>
        <w:rPr>
          <w:sz w:val="22"/>
          <w:szCs w:val="22"/>
        </w:rPr>
        <w:t xml:space="preserve">, </w:t>
      </w:r>
      <w:r>
        <w:rPr>
          <w:i/>
          <w:sz w:val="22"/>
          <w:szCs w:val="22"/>
        </w:rPr>
        <w:t>Legionella pneumophila</w:t>
      </w:r>
      <w:r>
        <w:rPr>
          <w:sz w:val="22"/>
          <w:szCs w:val="22"/>
        </w:rPr>
        <w:t xml:space="preserve"> és </w:t>
      </w:r>
      <w:r>
        <w:rPr>
          <w:i/>
          <w:sz w:val="22"/>
          <w:szCs w:val="22"/>
        </w:rPr>
        <w:t>Moraxella catarrhalis</w:t>
      </w:r>
      <w:r>
        <w:rPr>
          <w:sz w:val="22"/>
          <w:szCs w:val="22"/>
        </w:rPr>
        <w:t xml:space="preserve"> ellen. </w:t>
      </w:r>
      <w:r>
        <w:rPr>
          <w:i/>
          <w:sz w:val="22"/>
          <w:szCs w:val="22"/>
        </w:rPr>
        <w:t>H. influenzae</w:t>
      </w:r>
      <w:r>
        <w:rPr>
          <w:sz w:val="22"/>
          <w:szCs w:val="22"/>
        </w:rPr>
        <w:t xml:space="preserve"> elleni hatékonyság felülmúlja az eritromicinét – sőt, a 14</w:t>
      </w:r>
      <w:r>
        <w:rPr>
          <w:sz w:val="22"/>
          <w:szCs w:val="22"/>
        </w:rPr>
        <w:noBreakHyphen/>
        <w:t>hidroxi</w:t>
      </w:r>
      <w:r>
        <w:rPr>
          <w:sz w:val="22"/>
          <w:szCs w:val="22"/>
        </w:rPr>
        <w:noBreakHyphen/>
        <w:t>klaritromicin metabolit e baktérium ellen mintegy kétszer hatékonyabb a natív klaritromicinnél.</w:t>
      </w:r>
    </w:p>
    <w:p w14:paraId="5C70D8D8" w14:textId="77777777" w:rsidR="002A3AC9" w:rsidRDefault="00EC5E4D">
      <w:pPr>
        <w:tabs>
          <w:tab w:val="left" w:pos="567"/>
        </w:tabs>
        <w:rPr>
          <w:sz w:val="22"/>
          <w:szCs w:val="22"/>
        </w:rPr>
      </w:pPr>
      <w:r>
        <w:rPr>
          <w:sz w:val="22"/>
          <w:szCs w:val="22"/>
        </w:rPr>
        <w:t xml:space="preserve">A klaritromicin nem hat Enterobacteriaceae és Pseudomonas fajokra, valamint a </w:t>
      </w:r>
      <w:r>
        <w:rPr>
          <w:i/>
          <w:sz w:val="22"/>
          <w:szCs w:val="22"/>
        </w:rPr>
        <w:t xml:space="preserve">S. aureus </w:t>
      </w:r>
      <w:r>
        <w:rPr>
          <w:sz w:val="22"/>
          <w:szCs w:val="22"/>
        </w:rPr>
        <w:t>meticillin</w:t>
      </w:r>
      <w:r>
        <w:rPr>
          <w:sz w:val="22"/>
          <w:szCs w:val="22"/>
        </w:rPr>
        <w:noBreakHyphen/>
        <w:t>rezisztens törzseire.</w:t>
      </w:r>
    </w:p>
    <w:p w14:paraId="703BB2B4" w14:textId="77777777" w:rsidR="002A3AC9" w:rsidRDefault="00EC5E4D">
      <w:pPr>
        <w:tabs>
          <w:tab w:val="left" w:pos="567"/>
        </w:tabs>
        <w:rPr>
          <w:sz w:val="22"/>
          <w:szCs w:val="22"/>
        </w:rPr>
      </w:pPr>
      <w:r>
        <w:rPr>
          <w:sz w:val="22"/>
          <w:szCs w:val="22"/>
        </w:rPr>
        <w:t>Gram-pozitív anaerobok, például Clostridium, Eubacterium, Peptococcus és Propionibacterium fajok, illetve Bacteroides fajok ellen hatásos a klaritromicin.</w:t>
      </w:r>
    </w:p>
    <w:p w14:paraId="3D43943C" w14:textId="77777777" w:rsidR="002A3AC9" w:rsidRDefault="00EC5E4D">
      <w:pPr>
        <w:tabs>
          <w:tab w:val="left" w:pos="567"/>
        </w:tabs>
        <w:rPr>
          <w:sz w:val="22"/>
          <w:szCs w:val="22"/>
        </w:rPr>
      </w:pPr>
      <w:r>
        <w:rPr>
          <w:i/>
          <w:sz w:val="22"/>
          <w:szCs w:val="22"/>
        </w:rPr>
        <w:t>Chlamydia trachomatis</w:t>
      </w:r>
      <w:r>
        <w:rPr>
          <w:sz w:val="22"/>
          <w:szCs w:val="22"/>
        </w:rPr>
        <w:t xml:space="preserve"> és </w:t>
      </w:r>
      <w:r>
        <w:rPr>
          <w:i/>
          <w:sz w:val="22"/>
          <w:szCs w:val="22"/>
        </w:rPr>
        <w:t>C. pneumoniae</w:t>
      </w:r>
      <w:r>
        <w:rPr>
          <w:sz w:val="22"/>
          <w:szCs w:val="22"/>
        </w:rPr>
        <w:t xml:space="preserve"> ellen a klaritromicin a leghatékonyabb makrolid-típusú antibiotikum. </w:t>
      </w:r>
      <w:r>
        <w:rPr>
          <w:i/>
          <w:sz w:val="22"/>
          <w:szCs w:val="22"/>
        </w:rPr>
        <w:t>Mycoplasma pneumoniae</w:t>
      </w:r>
      <w:r>
        <w:rPr>
          <w:sz w:val="22"/>
          <w:szCs w:val="22"/>
        </w:rPr>
        <w:t xml:space="preserve"> és </w:t>
      </w:r>
      <w:r>
        <w:rPr>
          <w:i/>
          <w:sz w:val="22"/>
          <w:szCs w:val="22"/>
        </w:rPr>
        <w:t>Ureaplasma urealyticum</w:t>
      </w:r>
      <w:r>
        <w:rPr>
          <w:sz w:val="22"/>
          <w:szCs w:val="22"/>
        </w:rPr>
        <w:t xml:space="preserve"> elleni hatékonysága is megfelelő, a </w:t>
      </w:r>
      <w:r>
        <w:rPr>
          <w:i/>
          <w:sz w:val="22"/>
          <w:szCs w:val="22"/>
        </w:rPr>
        <w:t>Mycoplasma hominis</w:t>
      </w:r>
      <w:r>
        <w:rPr>
          <w:sz w:val="22"/>
          <w:szCs w:val="22"/>
        </w:rPr>
        <w:t xml:space="preserve"> azonban rezisztens klaritromicinre. A klaritromicin – a </w:t>
      </w:r>
      <w:r>
        <w:rPr>
          <w:i/>
          <w:sz w:val="22"/>
          <w:szCs w:val="22"/>
        </w:rPr>
        <w:t>Mycobacterium tuberculosis</w:t>
      </w:r>
      <w:r>
        <w:rPr>
          <w:sz w:val="22"/>
          <w:szCs w:val="22"/>
        </w:rPr>
        <w:t xml:space="preserve"> kivételével – számos Mycobacteriumra is hat. A makrolidok közül a klaritromicin a leghatékonyabb a </w:t>
      </w:r>
      <w:r>
        <w:rPr>
          <w:i/>
          <w:sz w:val="22"/>
          <w:szCs w:val="22"/>
        </w:rPr>
        <w:t>Mycobacterium avium</w:t>
      </w:r>
      <w:r>
        <w:rPr>
          <w:sz w:val="22"/>
          <w:szCs w:val="22"/>
        </w:rPr>
        <w:t xml:space="preserve"> komplex (MAC) tagjai, </w:t>
      </w:r>
      <w:r>
        <w:rPr>
          <w:i/>
          <w:sz w:val="22"/>
          <w:szCs w:val="22"/>
        </w:rPr>
        <w:t>M. fortuitum</w:t>
      </w:r>
      <w:r>
        <w:rPr>
          <w:sz w:val="22"/>
          <w:szCs w:val="22"/>
        </w:rPr>
        <w:t xml:space="preserve"> és </w:t>
      </w:r>
      <w:r>
        <w:rPr>
          <w:i/>
          <w:sz w:val="22"/>
          <w:szCs w:val="22"/>
        </w:rPr>
        <w:t>M. chelonae</w:t>
      </w:r>
      <w:r>
        <w:rPr>
          <w:sz w:val="22"/>
          <w:szCs w:val="22"/>
        </w:rPr>
        <w:t xml:space="preserve"> ellen. Ezen kívül, </w:t>
      </w:r>
      <w:r>
        <w:rPr>
          <w:i/>
          <w:sz w:val="22"/>
          <w:szCs w:val="22"/>
        </w:rPr>
        <w:t>M. kansasii</w:t>
      </w:r>
      <w:r>
        <w:rPr>
          <w:sz w:val="22"/>
          <w:szCs w:val="22"/>
        </w:rPr>
        <w:t xml:space="preserve">, </w:t>
      </w:r>
      <w:r>
        <w:rPr>
          <w:i/>
          <w:sz w:val="22"/>
          <w:szCs w:val="22"/>
        </w:rPr>
        <w:t xml:space="preserve">M. xenopi </w:t>
      </w:r>
      <w:r>
        <w:rPr>
          <w:sz w:val="22"/>
          <w:szCs w:val="22"/>
        </w:rPr>
        <w:t xml:space="preserve">és </w:t>
      </w:r>
      <w:r>
        <w:rPr>
          <w:i/>
          <w:sz w:val="22"/>
          <w:szCs w:val="22"/>
        </w:rPr>
        <w:t>M. leprae</w:t>
      </w:r>
      <w:r>
        <w:rPr>
          <w:sz w:val="22"/>
          <w:szCs w:val="22"/>
        </w:rPr>
        <w:t xml:space="preserve"> ellen is hatásosnak bizonyul.</w:t>
      </w:r>
    </w:p>
    <w:p w14:paraId="649A8A8D" w14:textId="77777777" w:rsidR="002A3AC9" w:rsidRDefault="00EC5E4D">
      <w:pPr>
        <w:tabs>
          <w:tab w:val="left" w:pos="567"/>
        </w:tabs>
        <w:rPr>
          <w:sz w:val="22"/>
          <w:szCs w:val="22"/>
        </w:rPr>
      </w:pPr>
      <w:r>
        <w:rPr>
          <w:sz w:val="22"/>
          <w:szCs w:val="22"/>
        </w:rPr>
        <w:lastRenderedPageBreak/>
        <w:t xml:space="preserve">A treponemák közül a </w:t>
      </w:r>
      <w:r>
        <w:rPr>
          <w:i/>
          <w:sz w:val="22"/>
          <w:szCs w:val="22"/>
        </w:rPr>
        <w:t>Borrelia burgdorferi</w:t>
      </w:r>
      <w:r>
        <w:rPr>
          <w:sz w:val="22"/>
          <w:szCs w:val="22"/>
        </w:rPr>
        <w:t xml:space="preserve"> érzékeny klaritromicinre, melynek </w:t>
      </w:r>
      <w:r>
        <w:rPr>
          <w:i/>
          <w:sz w:val="22"/>
          <w:szCs w:val="22"/>
        </w:rPr>
        <w:t>Treponema pallidum</w:t>
      </w:r>
      <w:r>
        <w:rPr>
          <w:sz w:val="22"/>
          <w:szCs w:val="22"/>
        </w:rPr>
        <w:t xml:space="preserve"> elleni hatékonysága nem ismert. A </w:t>
      </w:r>
      <w:r>
        <w:rPr>
          <w:i/>
          <w:sz w:val="22"/>
          <w:szCs w:val="22"/>
        </w:rPr>
        <w:t>Toxoplasma gondii</w:t>
      </w:r>
      <w:r>
        <w:rPr>
          <w:sz w:val="22"/>
          <w:szCs w:val="22"/>
        </w:rPr>
        <w:t xml:space="preserve"> érzékeny klaritromicinre.</w:t>
      </w:r>
    </w:p>
    <w:p w14:paraId="17C22B60" w14:textId="77777777" w:rsidR="002A3AC9" w:rsidRDefault="00EC5E4D">
      <w:pPr>
        <w:tabs>
          <w:tab w:val="left" w:pos="567"/>
        </w:tabs>
        <w:rPr>
          <w:sz w:val="22"/>
          <w:szCs w:val="22"/>
        </w:rPr>
      </w:pPr>
      <w:r>
        <w:rPr>
          <w:sz w:val="22"/>
          <w:szCs w:val="22"/>
        </w:rPr>
        <w:t xml:space="preserve">A natív klaritromicin és 14-hidroxi-metabolitja szinergizmusban fejtik ki hatásukat </w:t>
      </w:r>
      <w:r>
        <w:rPr>
          <w:i/>
          <w:sz w:val="22"/>
          <w:szCs w:val="22"/>
        </w:rPr>
        <w:t>H. influenzae</w:t>
      </w:r>
      <w:r>
        <w:rPr>
          <w:sz w:val="22"/>
          <w:szCs w:val="22"/>
        </w:rPr>
        <w:t xml:space="preserve">, </w:t>
      </w:r>
      <w:r>
        <w:rPr>
          <w:i/>
          <w:sz w:val="22"/>
          <w:szCs w:val="22"/>
        </w:rPr>
        <w:t>M. catarrhalis</w:t>
      </w:r>
      <w:r>
        <w:rPr>
          <w:sz w:val="22"/>
          <w:szCs w:val="22"/>
        </w:rPr>
        <w:t>, Legionella fajok és egyes Streptococcusok, illetve Staphylococcusok ellen.</w:t>
      </w:r>
    </w:p>
    <w:p w14:paraId="0F06C7C9" w14:textId="77777777" w:rsidR="002A3AC9" w:rsidRPr="00AC474F" w:rsidRDefault="002A3AC9">
      <w:pPr>
        <w:tabs>
          <w:tab w:val="left" w:pos="567"/>
        </w:tabs>
        <w:rPr>
          <w:bCs/>
          <w:sz w:val="22"/>
          <w:szCs w:val="22"/>
        </w:rPr>
      </w:pPr>
    </w:p>
    <w:p w14:paraId="122B2F8E" w14:textId="77777777" w:rsidR="002A3AC9" w:rsidRDefault="00EC5E4D">
      <w:pPr>
        <w:keepNext/>
        <w:tabs>
          <w:tab w:val="left" w:pos="567"/>
        </w:tabs>
        <w:rPr>
          <w:sz w:val="22"/>
          <w:szCs w:val="22"/>
        </w:rPr>
      </w:pPr>
      <w:r>
        <w:rPr>
          <w:b/>
          <w:sz w:val="22"/>
          <w:szCs w:val="22"/>
        </w:rPr>
        <w:t>2. táblázat:</w:t>
      </w:r>
      <w:r>
        <w:rPr>
          <w:sz w:val="22"/>
          <w:szCs w:val="22"/>
        </w:rPr>
        <w:t xml:space="preserve"> A klaritromicin </w:t>
      </w:r>
      <w:r>
        <w:rPr>
          <w:i/>
          <w:sz w:val="22"/>
          <w:szCs w:val="22"/>
        </w:rPr>
        <w:t>in vitro</w:t>
      </w:r>
      <w:r>
        <w:rPr>
          <w:sz w:val="22"/>
          <w:szCs w:val="22"/>
        </w:rPr>
        <w:t xml:space="preserve"> hatékonysága (MIC értékek; mikrogramm/ml).</w:t>
      </w:r>
    </w:p>
    <w:tbl>
      <w:tblPr>
        <w:tblW w:w="0" w:type="auto"/>
        <w:tblInd w:w="108" w:type="dxa"/>
        <w:tblLayout w:type="fixed"/>
        <w:tblLook w:val="0000" w:firstRow="0" w:lastRow="0" w:firstColumn="0" w:lastColumn="0" w:noHBand="0" w:noVBand="0"/>
      </w:tblPr>
      <w:tblGrid>
        <w:gridCol w:w="4140"/>
        <w:gridCol w:w="2664"/>
      </w:tblGrid>
      <w:tr w:rsidR="002A3AC9" w14:paraId="3E9487F3" w14:textId="77777777">
        <w:trPr>
          <w:cantSplit/>
          <w:tblHeader/>
        </w:trPr>
        <w:tc>
          <w:tcPr>
            <w:tcW w:w="4140" w:type="dxa"/>
            <w:tcBorders>
              <w:top w:val="single" w:sz="1" w:space="0" w:color="000000"/>
              <w:left w:val="single" w:sz="1" w:space="0" w:color="000000"/>
              <w:bottom w:val="single" w:sz="1" w:space="0" w:color="000000"/>
            </w:tcBorders>
          </w:tcPr>
          <w:p w14:paraId="1DCC23A5" w14:textId="77777777" w:rsidR="002A3AC9" w:rsidRDefault="00EC5E4D">
            <w:pPr>
              <w:pStyle w:val="Cmsor5"/>
              <w:spacing w:before="0"/>
              <w:jc w:val="left"/>
              <w:rPr>
                <w:szCs w:val="22"/>
                <w:lang w:val="hu-HU"/>
              </w:rPr>
            </w:pPr>
            <w:r>
              <w:rPr>
                <w:szCs w:val="22"/>
                <w:lang w:val="hu-HU"/>
              </w:rPr>
              <w:t>Mikroorganizmusok</w:t>
            </w:r>
          </w:p>
        </w:tc>
        <w:tc>
          <w:tcPr>
            <w:tcW w:w="2664" w:type="dxa"/>
            <w:tcBorders>
              <w:top w:val="single" w:sz="1" w:space="0" w:color="000000"/>
              <w:left w:val="single" w:sz="1" w:space="0" w:color="000000"/>
              <w:bottom w:val="single" w:sz="1" w:space="0" w:color="000000"/>
              <w:right w:val="single" w:sz="1" w:space="0" w:color="000000"/>
            </w:tcBorders>
          </w:tcPr>
          <w:p w14:paraId="3B80283D" w14:textId="77777777" w:rsidR="002A3AC9" w:rsidRDefault="00EC5E4D">
            <w:pPr>
              <w:keepNext/>
              <w:rPr>
                <w:b/>
                <w:sz w:val="22"/>
                <w:szCs w:val="22"/>
              </w:rPr>
            </w:pPr>
            <w:r>
              <w:rPr>
                <w:b/>
                <w:sz w:val="22"/>
                <w:szCs w:val="22"/>
              </w:rPr>
              <w:t>Klaritromicin MIC</w:t>
            </w:r>
            <w:r>
              <w:rPr>
                <w:b/>
                <w:sz w:val="22"/>
                <w:szCs w:val="22"/>
                <w:vertAlign w:val="subscript"/>
              </w:rPr>
              <w:t>90</w:t>
            </w:r>
            <w:r>
              <w:rPr>
                <w:b/>
                <w:sz w:val="22"/>
                <w:szCs w:val="22"/>
              </w:rPr>
              <w:t xml:space="preserve"> (mikrogramm/ml)</w:t>
            </w:r>
          </w:p>
        </w:tc>
      </w:tr>
      <w:tr w:rsidR="002A3AC9" w14:paraId="5F83FEDF" w14:textId="77777777">
        <w:trPr>
          <w:cantSplit/>
        </w:trPr>
        <w:tc>
          <w:tcPr>
            <w:tcW w:w="4140" w:type="dxa"/>
            <w:tcBorders>
              <w:left w:val="single" w:sz="1" w:space="0" w:color="000000"/>
              <w:bottom w:val="single" w:sz="1" w:space="0" w:color="000000"/>
            </w:tcBorders>
          </w:tcPr>
          <w:p w14:paraId="63303C4F" w14:textId="77777777" w:rsidR="002A3AC9" w:rsidRDefault="00EC5E4D">
            <w:pPr>
              <w:keepNext/>
              <w:rPr>
                <w:i/>
                <w:sz w:val="22"/>
                <w:szCs w:val="22"/>
              </w:rPr>
            </w:pPr>
            <w:r>
              <w:rPr>
                <w:sz w:val="22"/>
                <w:szCs w:val="22"/>
              </w:rPr>
              <w:t>Meticillin-érzékeny</w:t>
            </w:r>
            <w:r>
              <w:rPr>
                <w:i/>
                <w:sz w:val="22"/>
                <w:szCs w:val="22"/>
              </w:rPr>
              <w:t xml:space="preserve"> Staphylococcus aureus</w:t>
            </w:r>
          </w:p>
        </w:tc>
        <w:tc>
          <w:tcPr>
            <w:tcW w:w="2664" w:type="dxa"/>
            <w:tcBorders>
              <w:left w:val="single" w:sz="1" w:space="0" w:color="000000"/>
              <w:bottom w:val="single" w:sz="1" w:space="0" w:color="000000"/>
              <w:right w:val="single" w:sz="1" w:space="0" w:color="000000"/>
            </w:tcBorders>
          </w:tcPr>
          <w:p w14:paraId="4C868408" w14:textId="77777777" w:rsidR="002A3AC9" w:rsidRDefault="00EC5E4D">
            <w:pPr>
              <w:keepNext/>
              <w:rPr>
                <w:sz w:val="22"/>
                <w:szCs w:val="22"/>
              </w:rPr>
            </w:pPr>
            <w:r>
              <w:rPr>
                <w:sz w:val="22"/>
                <w:szCs w:val="22"/>
              </w:rPr>
              <w:t>0,125</w:t>
            </w:r>
          </w:p>
        </w:tc>
      </w:tr>
      <w:tr w:rsidR="002A3AC9" w14:paraId="134FA244" w14:textId="77777777">
        <w:trPr>
          <w:cantSplit/>
        </w:trPr>
        <w:tc>
          <w:tcPr>
            <w:tcW w:w="4140" w:type="dxa"/>
            <w:tcBorders>
              <w:left w:val="single" w:sz="1" w:space="0" w:color="000000"/>
              <w:bottom w:val="single" w:sz="1" w:space="0" w:color="000000"/>
            </w:tcBorders>
          </w:tcPr>
          <w:p w14:paraId="65D5944A" w14:textId="77777777" w:rsidR="002A3AC9" w:rsidRDefault="00EC5E4D">
            <w:pPr>
              <w:keepNext/>
              <w:rPr>
                <w:i/>
                <w:sz w:val="22"/>
                <w:szCs w:val="22"/>
              </w:rPr>
            </w:pPr>
            <w:r>
              <w:rPr>
                <w:i/>
                <w:sz w:val="22"/>
                <w:szCs w:val="22"/>
              </w:rPr>
              <w:t>Streptococcus pyogenes</w:t>
            </w:r>
          </w:p>
        </w:tc>
        <w:tc>
          <w:tcPr>
            <w:tcW w:w="2664" w:type="dxa"/>
            <w:tcBorders>
              <w:left w:val="single" w:sz="1" w:space="0" w:color="000000"/>
              <w:bottom w:val="single" w:sz="1" w:space="0" w:color="000000"/>
              <w:right w:val="single" w:sz="1" w:space="0" w:color="000000"/>
            </w:tcBorders>
          </w:tcPr>
          <w:p w14:paraId="4DA6CE92" w14:textId="77777777" w:rsidR="002A3AC9" w:rsidRDefault="00EC5E4D">
            <w:pPr>
              <w:keepNext/>
              <w:rPr>
                <w:sz w:val="22"/>
                <w:szCs w:val="22"/>
              </w:rPr>
            </w:pPr>
            <w:r>
              <w:rPr>
                <w:sz w:val="22"/>
                <w:szCs w:val="22"/>
              </w:rPr>
              <w:t>0,015</w:t>
            </w:r>
          </w:p>
        </w:tc>
      </w:tr>
      <w:tr w:rsidR="002A3AC9" w14:paraId="5286871C" w14:textId="77777777">
        <w:trPr>
          <w:cantSplit/>
        </w:trPr>
        <w:tc>
          <w:tcPr>
            <w:tcW w:w="4140" w:type="dxa"/>
            <w:tcBorders>
              <w:left w:val="single" w:sz="1" w:space="0" w:color="000000"/>
              <w:bottom w:val="single" w:sz="1" w:space="0" w:color="000000"/>
            </w:tcBorders>
          </w:tcPr>
          <w:p w14:paraId="7110BB67" w14:textId="77777777" w:rsidR="002A3AC9" w:rsidRDefault="00EC5E4D">
            <w:pPr>
              <w:rPr>
                <w:i/>
                <w:sz w:val="22"/>
                <w:szCs w:val="22"/>
              </w:rPr>
            </w:pPr>
            <w:r>
              <w:rPr>
                <w:i/>
                <w:sz w:val="22"/>
                <w:szCs w:val="22"/>
              </w:rPr>
              <w:t>Streptococcus pneumoniae</w:t>
            </w:r>
          </w:p>
        </w:tc>
        <w:tc>
          <w:tcPr>
            <w:tcW w:w="2664" w:type="dxa"/>
            <w:tcBorders>
              <w:left w:val="single" w:sz="1" w:space="0" w:color="000000"/>
              <w:bottom w:val="single" w:sz="1" w:space="0" w:color="000000"/>
              <w:right w:val="single" w:sz="1" w:space="0" w:color="000000"/>
            </w:tcBorders>
          </w:tcPr>
          <w:p w14:paraId="29F2612B" w14:textId="77777777" w:rsidR="002A3AC9" w:rsidRDefault="00EC5E4D">
            <w:pPr>
              <w:rPr>
                <w:sz w:val="22"/>
                <w:szCs w:val="22"/>
              </w:rPr>
            </w:pPr>
            <w:r>
              <w:rPr>
                <w:sz w:val="22"/>
                <w:szCs w:val="22"/>
              </w:rPr>
              <w:t>0,015</w:t>
            </w:r>
          </w:p>
        </w:tc>
      </w:tr>
      <w:tr w:rsidR="002A3AC9" w14:paraId="534E7241" w14:textId="77777777">
        <w:trPr>
          <w:cantSplit/>
        </w:trPr>
        <w:tc>
          <w:tcPr>
            <w:tcW w:w="4140" w:type="dxa"/>
            <w:tcBorders>
              <w:left w:val="single" w:sz="1" w:space="0" w:color="000000"/>
              <w:bottom w:val="single" w:sz="1" w:space="0" w:color="000000"/>
            </w:tcBorders>
          </w:tcPr>
          <w:p w14:paraId="0DFA2ADF" w14:textId="77777777" w:rsidR="002A3AC9" w:rsidRDefault="00EC5E4D">
            <w:pPr>
              <w:rPr>
                <w:i/>
                <w:sz w:val="22"/>
                <w:szCs w:val="22"/>
              </w:rPr>
            </w:pPr>
            <w:r>
              <w:rPr>
                <w:i/>
                <w:sz w:val="22"/>
                <w:szCs w:val="22"/>
              </w:rPr>
              <w:t>Streptococcus agalactiae</w:t>
            </w:r>
          </w:p>
        </w:tc>
        <w:tc>
          <w:tcPr>
            <w:tcW w:w="2664" w:type="dxa"/>
            <w:tcBorders>
              <w:left w:val="single" w:sz="1" w:space="0" w:color="000000"/>
              <w:bottom w:val="single" w:sz="1" w:space="0" w:color="000000"/>
              <w:right w:val="single" w:sz="1" w:space="0" w:color="000000"/>
            </w:tcBorders>
          </w:tcPr>
          <w:p w14:paraId="514B5D7D" w14:textId="77777777" w:rsidR="002A3AC9" w:rsidRDefault="00EC5E4D">
            <w:pPr>
              <w:rPr>
                <w:sz w:val="22"/>
                <w:szCs w:val="22"/>
              </w:rPr>
            </w:pPr>
            <w:r>
              <w:rPr>
                <w:sz w:val="22"/>
                <w:szCs w:val="22"/>
              </w:rPr>
              <w:t>0,06</w:t>
            </w:r>
          </w:p>
        </w:tc>
      </w:tr>
      <w:tr w:rsidR="002A3AC9" w14:paraId="4FAEB8FD" w14:textId="77777777">
        <w:trPr>
          <w:cantSplit/>
        </w:trPr>
        <w:tc>
          <w:tcPr>
            <w:tcW w:w="4140" w:type="dxa"/>
            <w:tcBorders>
              <w:left w:val="single" w:sz="1" w:space="0" w:color="000000"/>
              <w:bottom w:val="single" w:sz="1" w:space="0" w:color="000000"/>
            </w:tcBorders>
          </w:tcPr>
          <w:p w14:paraId="03820C65" w14:textId="77777777" w:rsidR="002A3AC9" w:rsidRDefault="00EC5E4D">
            <w:pPr>
              <w:rPr>
                <w:i/>
                <w:sz w:val="22"/>
                <w:szCs w:val="22"/>
              </w:rPr>
            </w:pPr>
            <w:r>
              <w:rPr>
                <w:i/>
                <w:sz w:val="22"/>
                <w:szCs w:val="22"/>
              </w:rPr>
              <w:t xml:space="preserve">Streptococcus viridans </w:t>
            </w:r>
          </w:p>
        </w:tc>
        <w:tc>
          <w:tcPr>
            <w:tcW w:w="2664" w:type="dxa"/>
            <w:tcBorders>
              <w:left w:val="single" w:sz="1" w:space="0" w:color="000000"/>
              <w:bottom w:val="single" w:sz="1" w:space="0" w:color="000000"/>
              <w:right w:val="single" w:sz="1" w:space="0" w:color="000000"/>
            </w:tcBorders>
          </w:tcPr>
          <w:p w14:paraId="2F223DEF" w14:textId="77777777" w:rsidR="002A3AC9" w:rsidRDefault="00EC5E4D">
            <w:pPr>
              <w:rPr>
                <w:sz w:val="22"/>
                <w:szCs w:val="22"/>
              </w:rPr>
            </w:pPr>
            <w:r>
              <w:rPr>
                <w:sz w:val="22"/>
                <w:szCs w:val="22"/>
              </w:rPr>
              <w:t>0,03</w:t>
            </w:r>
          </w:p>
        </w:tc>
      </w:tr>
      <w:tr w:rsidR="002A3AC9" w14:paraId="50F2A5CF" w14:textId="77777777">
        <w:trPr>
          <w:cantSplit/>
        </w:trPr>
        <w:tc>
          <w:tcPr>
            <w:tcW w:w="4140" w:type="dxa"/>
            <w:tcBorders>
              <w:left w:val="single" w:sz="1" w:space="0" w:color="000000"/>
              <w:bottom w:val="single" w:sz="1" w:space="0" w:color="000000"/>
            </w:tcBorders>
          </w:tcPr>
          <w:p w14:paraId="7CFBA077" w14:textId="77777777" w:rsidR="002A3AC9" w:rsidRDefault="00EC5E4D">
            <w:pPr>
              <w:rPr>
                <w:iCs/>
                <w:sz w:val="22"/>
                <w:szCs w:val="22"/>
              </w:rPr>
            </w:pPr>
            <w:r>
              <w:rPr>
                <w:iCs/>
                <w:sz w:val="22"/>
                <w:szCs w:val="22"/>
              </w:rPr>
              <w:t>Corynebacterium fajok</w:t>
            </w:r>
          </w:p>
        </w:tc>
        <w:tc>
          <w:tcPr>
            <w:tcW w:w="2664" w:type="dxa"/>
            <w:tcBorders>
              <w:left w:val="single" w:sz="1" w:space="0" w:color="000000"/>
              <w:bottom w:val="single" w:sz="1" w:space="0" w:color="000000"/>
              <w:right w:val="single" w:sz="1" w:space="0" w:color="000000"/>
            </w:tcBorders>
          </w:tcPr>
          <w:p w14:paraId="5C47FE46" w14:textId="77777777" w:rsidR="002A3AC9" w:rsidRDefault="00EC5E4D">
            <w:pPr>
              <w:rPr>
                <w:sz w:val="22"/>
                <w:szCs w:val="22"/>
              </w:rPr>
            </w:pPr>
            <w:r>
              <w:rPr>
                <w:sz w:val="22"/>
                <w:szCs w:val="22"/>
              </w:rPr>
              <w:t>4</w:t>
            </w:r>
          </w:p>
        </w:tc>
      </w:tr>
      <w:tr w:rsidR="002A3AC9" w14:paraId="49A2ED10" w14:textId="77777777">
        <w:trPr>
          <w:cantSplit/>
        </w:trPr>
        <w:tc>
          <w:tcPr>
            <w:tcW w:w="4140" w:type="dxa"/>
            <w:tcBorders>
              <w:left w:val="single" w:sz="1" w:space="0" w:color="000000"/>
              <w:bottom w:val="single" w:sz="1" w:space="0" w:color="000000"/>
            </w:tcBorders>
          </w:tcPr>
          <w:p w14:paraId="07CFE300" w14:textId="77777777" w:rsidR="002A3AC9" w:rsidRDefault="00EC5E4D">
            <w:pPr>
              <w:rPr>
                <w:i/>
                <w:sz w:val="22"/>
                <w:szCs w:val="22"/>
              </w:rPr>
            </w:pPr>
            <w:r>
              <w:rPr>
                <w:i/>
                <w:sz w:val="22"/>
                <w:szCs w:val="22"/>
              </w:rPr>
              <w:t>Listeria monocytogenes</w:t>
            </w:r>
          </w:p>
        </w:tc>
        <w:tc>
          <w:tcPr>
            <w:tcW w:w="2664" w:type="dxa"/>
            <w:tcBorders>
              <w:left w:val="single" w:sz="1" w:space="0" w:color="000000"/>
              <w:bottom w:val="single" w:sz="1" w:space="0" w:color="000000"/>
              <w:right w:val="single" w:sz="1" w:space="0" w:color="000000"/>
            </w:tcBorders>
          </w:tcPr>
          <w:p w14:paraId="4D442096" w14:textId="77777777" w:rsidR="002A3AC9" w:rsidRDefault="00EC5E4D">
            <w:pPr>
              <w:rPr>
                <w:sz w:val="22"/>
                <w:szCs w:val="22"/>
              </w:rPr>
            </w:pPr>
            <w:r>
              <w:rPr>
                <w:sz w:val="22"/>
                <w:szCs w:val="22"/>
              </w:rPr>
              <w:t>0,25</w:t>
            </w:r>
          </w:p>
        </w:tc>
      </w:tr>
      <w:tr w:rsidR="002A3AC9" w14:paraId="33630598" w14:textId="77777777">
        <w:trPr>
          <w:cantSplit/>
        </w:trPr>
        <w:tc>
          <w:tcPr>
            <w:tcW w:w="4140" w:type="dxa"/>
            <w:tcBorders>
              <w:left w:val="single" w:sz="1" w:space="0" w:color="000000"/>
              <w:bottom w:val="single" w:sz="1" w:space="0" w:color="000000"/>
            </w:tcBorders>
          </w:tcPr>
          <w:p w14:paraId="0A6D5F19" w14:textId="77777777" w:rsidR="002A3AC9" w:rsidRDefault="00EC5E4D">
            <w:pPr>
              <w:rPr>
                <w:i/>
                <w:sz w:val="22"/>
                <w:szCs w:val="22"/>
              </w:rPr>
            </w:pPr>
            <w:r>
              <w:rPr>
                <w:i/>
                <w:sz w:val="22"/>
                <w:szCs w:val="22"/>
              </w:rPr>
              <w:t>Moraxella catarrhalis</w:t>
            </w:r>
          </w:p>
        </w:tc>
        <w:tc>
          <w:tcPr>
            <w:tcW w:w="2664" w:type="dxa"/>
            <w:tcBorders>
              <w:left w:val="single" w:sz="1" w:space="0" w:color="000000"/>
              <w:bottom w:val="single" w:sz="1" w:space="0" w:color="000000"/>
              <w:right w:val="single" w:sz="1" w:space="0" w:color="000000"/>
            </w:tcBorders>
          </w:tcPr>
          <w:p w14:paraId="20E60538" w14:textId="77777777" w:rsidR="002A3AC9" w:rsidRDefault="00EC5E4D">
            <w:pPr>
              <w:rPr>
                <w:sz w:val="22"/>
                <w:szCs w:val="22"/>
              </w:rPr>
            </w:pPr>
            <w:r>
              <w:rPr>
                <w:sz w:val="22"/>
                <w:szCs w:val="22"/>
              </w:rPr>
              <w:t>0,25</w:t>
            </w:r>
          </w:p>
        </w:tc>
      </w:tr>
      <w:tr w:rsidR="002A3AC9" w14:paraId="4C8E25A3" w14:textId="77777777">
        <w:trPr>
          <w:cantSplit/>
        </w:trPr>
        <w:tc>
          <w:tcPr>
            <w:tcW w:w="4140" w:type="dxa"/>
            <w:tcBorders>
              <w:left w:val="single" w:sz="1" w:space="0" w:color="000000"/>
              <w:bottom w:val="single" w:sz="1" w:space="0" w:color="000000"/>
            </w:tcBorders>
          </w:tcPr>
          <w:p w14:paraId="78DA604C" w14:textId="77777777" w:rsidR="002A3AC9" w:rsidRDefault="00EC5E4D">
            <w:pPr>
              <w:rPr>
                <w:i/>
                <w:sz w:val="22"/>
                <w:szCs w:val="22"/>
              </w:rPr>
            </w:pPr>
            <w:r>
              <w:rPr>
                <w:i/>
                <w:sz w:val="22"/>
                <w:szCs w:val="22"/>
              </w:rPr>
              <w:t>Neisseria gonorrhoeae</w:t>
            </w:r>
          </w:p>
        </w:tc>
        <w:tc>
          <w:tcPr>
            <w:tcW w:w="2664" w:type="dxa"/>
            <w:tcBorders>
              <w:left w:val="single" w:sz="1" w:space="0" w:color="000000"/>
              <w:bottom w:val="single" w:sz="1" w:space="0" w:color="000000"/>
              <w:right w:val="single" w:sz="1" w:space="0" w:color="000000"/>
            </w:tcBorders>
          </w:tcPr>
          <w:p w14:paraId="6CAD39C5" w14:textId="77777777" w:rsidR="002A3AC9" w:rsidRDefault="00EC5E4D">
            <w:pPr>
              <w:rPr>
                <w:sz w:val="22"/>
                <w:szCs w:val="22"/>
              </w:rPr>
            </w:pPr>
            <w:r>
              <w:rPr>
                <w:sz w:val="22"/>
                <w:szCs w:val="22"/>
              </w:rPr>
              <w:t>0,5</w:t>
            </w:r>
          </w:p>
        </w:tc>
      </w:tr>
      <w:tr w:rsidR="002A3AC9" w14:paraId="6B735A28" w14:textId="77777777">
        <w:trPr>
          <w:cantSplit/>
        </w:trPr>
        <w:tc>
          <w:tcPr>
            <w:tcW w:w="4140" w:type="dxa"/>
            <w:tcBorders>
              <w:left w:val="single" w:sz="1" w:space="0" w:color="000000"/>
              <w:bottom w:val="single" w:sz="1" w:space="0" w:color="000000"/>
            </w:tcBorders>
          </w:tcPr>
          <w:p w14:paraId="0446CDC9" w14:textId="77777777" w:rsidR="002A3AC9" w:rsidRDefault="00EC5E4D">
            <w:pPr>
              <w:rPr>
                <w:i/>
                <w:sz w:val="22"/>
                <w:szCs w:val="22"/>
              </w:rPr>
            </w:pPr>
            <w:r>
              <w:rPr>
                <w:i/>
                <w:sz w:val="22"/>
                <w:szCs w:val="22"/>
              </w:rPr>
              <w:t>Campylobacter jejuni</w:t>
            </w:r>
          </w:p>
        </w:tc>
        <w:tc>
          <w:tcPr>
            <w:tcW w:w="2664" w:type="dxa"/>
            <w:tcBorders>
              <w:left w:val="single" w:sz="1" w:space="0" w:color="000000"/>
              <w:bottom w:val="single" w:sz="1" w:space="0" w:color="000000"/>
              <w:right w:val="single" w:sz="1" w:space="0" w:color="000000"/>
            </w:tcBorders>
          </w:tcPr>
          <w:p w14:paraId="2B515D41" w14:textId="77777777" w:rsidR="002A3AC9" w:rsidRDefault="00EC5E4D">
            <w:pPr>
              <w:rPr>
                <w:sz w:val="22"/>
                <w:szCs w:val="22"/>
              </w:rPr>
            </w:pPr>
            <w:r>
              <w:rPr>
                <w:sz w:val="22"/>
                <w:szCs w:val="22"/>
              </w:rPr>
              <w:t>2</w:t>
            </w:r>
          </w:p>
        </w:tc>
      </w:tr>
      <w:tr w:rsidR="002A3AC9" w14:paraId="6D602C93" w14:textId="77777777">
        <w:trPr>
          <w:cantSplit/>
        </w:trPr>
        <w:tc>
          <w:tcPr>
            <w:tcW w:w="4140" w:type="dxa"/>
            <w:tcBorders>
              <w:left w:val="single" w:sz="1" w:space="0" w:color="000000"/>
              <w:bottom w:val="single" w:sz="1" w:space="0" w:color="000000"/>
            </w:tcBorders>
          </w:tcPr>
          <w:p w14:paraId="43569EAD" w14:textId="77777777" w:rsidR="002A3AC9" w:rsidRDefault="00EC5E4D">
            <w:pPr>
              <w:rPr>
                <w:i/>
                <w:sz w:val="22"/>
                <w:szCs w:val="22"/>
              </w:rPr>
            </w:pPr>
            <w:r>
              <w:rPr>
                <w:i/>
                <w:sz w:val="22"/>
                <w:szCs w:val="22"/>
              </w:rPr>
              <w:t>Legionella pneumophila</w:t>
            </w:r>
          </w:p>
        </w:tc>
        <w:tc>
          <w:tcPr>
            <w:tcW w:w="2664" w:type="dxa"/>
            <w:tcBorders>
              <w:left w:val="single" w:sz="1" w:space="0" w:color="000000"/>
              <w:bottom w:val="single" w:sz="1" w:space="0" w:color="000000"/>
              <w:right w:val="single" w:sz="1" w:space="0" w:color="000000"/>
            </w:tcBorders>
          </w:tcPr>
          <w:p w14:paraId="6D122D49" w14:textId="77777777" w:rsidR="002A3AC9" w:rsidRDefault="00EC5E4D">
            <w:pPr>
              <w:rPr>
                <w:sz w:val="22"/>
                <w:szCs w:val="22"/>
              </w:rPr>
            </w:pPr>
            <w:r>
              <w:rPr>
                <w:sz w:val="22"/>
                <w:szCs w:val="22"/>
              </w:rPr>
              <w:t>0,25</w:t>
            </w:r>
          </w:p>
        </w:tc>
      </w:tr>
      <w:tr w:rsidR="002A3AC9" w14:paraId="7BBC08FC" w14:textId="77777777">
        <w:trPr>
          <w:cantSplit/>
        </w:trPr>
        <w:tc>
          <w:tcPr>
            <w:tcW w:w="4140" w:type="dxa"/>
            <w:tcBorders>
              <w:left w:val="single" w:sz="1" w:space="0" w:color="000000"/>
              <w:bottom w:val="single" w:sz="1" w:space="0" w:color="000000"/>
            </w:tcBorders>
          </w:tcPr>
          <w:p w14:paraId="1D9AE257" w14:textId="77777777" w:rsidR="002A3AC9" w:rsidRDefault="00EC5E4D">
            <w:pPr>
              <w:rPr>
                <w:i/>
                <w:sz w:val="22"/>
                <w:szCs w:val="22"/>
              </w:rPr>
            </w:pPr>
            <w:r>
              <w:rPr>
                <w:i/>
                <w:sz w:val="22"/>
                <w:szCs w:val="22"/>
              </w:rPr>
              <w:t>Haemophilus influenzae</w:t>
            </w:r>
          </w:p>
        </w:tc>
        <w:tc>
          <w:tcPr>
            <w:tcW w:w="2664" w:type="dxa"/>
            <w:tcBorders>
              <w:left w:val="single" w:sz="1" w:space="0" w:color="000000"/>
              <w:bottom w:val="single" w:sz="1" w:space="0" w:color="000000"/>
              <w:right w:val="single" w:sz="1" w:space="0" w:color="000000"/>
            </w:tcBorders>
          </w:tcPr>
          <w:p w14:paraId="59E9DC7A" w14:textId="77777777" w:rsidR="002A3AC9" w:rsidRDefault="00EC5E4D">
            <w:pPr>
              <w:rPr>
                <w:sz w:val="22"/>
                <w:szCs w:val="22"/>
              </w:rPr>
            </w:pPr>
            <w:r>
              <w:rPr>
                <w:sz w:val="22"/>
                <w:szCs w:val="22"/>
              </w:rPr>
              <w:t>8</w:t>
            </w:r>
          </w:p>
        </w:tc>
      </w:tr>
      <w:tr w:rsidR="002A3AC9" w14:paraId="6025CC5B" w14:textId="77777777">
        <w:trPr>
          <w:cantSplit/>
        </w:trPr>
        <w:tc>
          <w:tcPr>
            <w:tcW w:w="4140" w:type="dxa"/>
            <w:tcBorders>
              <w:left w:val="single" w:sz="1" w:space="0" w:color="000000"/>
              <w:bottom w:val="single" w:sz="1" w:space="0" w:color="000000"/>
            </w:tcBorders>
          </w:tcPr>
          <w:p w14:paraId="77B1B57D" w14:textId="77777777" w:rsidR="002A3AC9" w:rsidRDefault="00EC5E4D">
            <w:pPr>
              <w:rPr>
                <w:i/>
                <w:sz w:val="22"/>
                <w:szCs w:val="22"/>
              </w:rPr>
            </w:pPr>
            <w:r>
              <w:rPr>
                <w:i/>
                <w:sz w:val="22"/>
                <w:szCs w:val="22"/>
              </w:rPr>
              <w:t>Bordetella pertussis</w:t>
            </w:r>
          </w:p>
        </w:tc>
        <w:tc>
          <w:tcPr>
            <w:tcW w:w="2664" w:type="dxa"/>
            <w:tcBorders>
              <w:left w:val="single" w:sz="1" w:space="0" w:color="000000"/>
              <w:bottom w:val="single" w:sz="1" w:space="0" w:color="000000"/>
              <w:right w:val="single" w:sz="1" w:space="0" w:color="000000"/>
            </w:tcBorders>
          </w:tcPr>
          <w:p w14:paraId="778C65AE" w14:textId="77777777" w:rsidR="002A3AC9" w:rsidRDefault="00EC5E4D">
            <w:pPr>
              <w:rPr>
                <w:sz w:val="22"/>
                <w:szCs w:val="22"/>
              </w:rPr>
            </w:pPr>
            <w:r>
              <w:rPr>
                <w:sz w:val="22"/>
                <w:szCs w:val="22"/>
              </w:rPr>
              <w:t>0,03</w:t>
            </w:r>
          </w:p>
        </w:tc>
      </w:tr>
      <w:tr w:rsidR="002A3AC9" w14:paraId="5F9A810E" w14:textId="77777777">
        <w:trPr>
          <w:cantSplit/>
        </w:trPr>
        <w:tc>
          <w:tcPr>
            <w:tcW w:w="4140" w:type="dxa"/>
            <w:tcBorders>
              <w:left w:val="single" w:sz="1" w:space="0" w:color="000000"/>
              <w:bottom w:val="single" w:sz="4" w:space="0" w:color="auto"/>
            </w:tcBorders>
          </w:tcPr>
          <w:p w14:paraId="251D9A8C" w14:textId="77777777" w:rsidR="002A3AC9" w:rsidRDefault="00EC5E4D">
            <w:pPr>
              <w:rPr>
                <w:i/>
                <w:sz w:val="22"/>
                <w:szCs w:val="22"/>
              </w:rPr>
            </w:pPr>
            <w:r>
              <w:rPr>
                <w:i/>
                <w:sz w:val="22"/>
                <w:szCs w:val="22"/>
              </w:rPr>
              <w:t>Bacteroides fragilis</w:t>
            </w:r>
          </w:p>
        </w:tc>
        <w:tc>
          <w:tcPr>
            <w:tcW w:w="2664" w:type="dxa"/>
            <w:tcBorders>
              <w:left w:val="single" w:sz="1" w:space="0" w:color="000000"/>
              <w:bottom w:val="single" w:sz="4" w:space="0" w:color="auto"/>
              <w:right w:val="single" w:sz="1" w:space="0" w:color="000000"/>
            </w:tcBorders>
          </w:tcPr>
          <w:p w14:paraId="7BBEBE61" w14:textId="77777777" w:rsidR="002A3AC9" w:rsidRDefault="00EC5E4D">
            <w:pPr>
              <w:rPr>
                <w:sz w:val="22"/>
                <w:szCs w:val="22"/>
              </w:rPr>
            </w:pPr>
            <w:r>
              <w:rPr>
                <w:sz w:val="22"/>
                <w:szCs w:val="22"/>
              </w:rPr>
              <w:t>2</w:t>
            </w:r>
          </w:p>
        </w:tc>
      </w:tr>
      <w:tr w:rsidR="002A3AC9" w14:paraId="6F6F93C4" w14:textId="77777777">
        <w:trPr>
          <w:cantSplit/>
        </w:trPr>
        <w:tc>
          <w:tcPr>
            <w:tcW w:w="4140" w:type="dxa"/>
            <w:tcBorders>
              <w:top w:val="single" w:sz="4" w:space="0" w:color="auto"/>
              <w:left w:val="single" w:sz="2" w:space="0" w:color="000000"/>
              <w:bottom w:val="single" w:sz="2" w:space="0" w:color="000000"/>
              <w:right w:val="single" w:sz="2" w:space="0" w:color="000000"/>
            </w:tcBorders>
          </w:tcPr>
          <w:p w14:paraId="4555CCA1" w14:textId="77777777" w:rsidR="002A3AC9" w:rsidRDefault="00EC5E4D">
            <w:pPr>
              <w:rPr>
                <w:i/>
                <w:sz w:val="22"/>
                <w:szCs w:val="22"/>
              </w:rPr>
            </w:pPr>
            <w:r>
              <w:rPr>
                <w:i/>
                <w:sz w:val="22"/>
                <w:szCs w:val="22"/>
              </w:rPr>
              <w:t>Clostridium perfringens</w:t>
            </w:r>
          </w:p>
        </w:tc>
        <w:tc>
          <w:tcPr>
            <w:tcW w:w="2664" w:type="dxa"/>
            <w:tcBorders>
              <w:top w:val="single" w:sz="4" w:space="0" w:color="auto"/>
              <w:left w:val="single" w:sz="2" w:space="0" w:color="000000"/>
              <w:bottom w:val="single" w:sz="2" w:space="0" w:color="000000"/>
              <w:right w:val="single" w:sz="2" w:space="0" w:color="000000"/>
            </w:tcBorders>
          </w:tcPr>
          <w:p w14:paraId="07980E77" w14:textId="77777777" w:rsidR="002A3AC9" w:rsidRDefault="00EC5E4D">
            <w:pPr>
              <w:rPr>
                <w:sz w:val="22"/>
                <w:szCs w:val="22"/>
              </w:rPr>
            </w:pPr>
            <w:r>
              <w:rPr>
                <w:sz w:val="22"/>
                <w:szCs w:val="22"/>
              </w:rPr>
              <w:t>0,5</w:t>
            </w:r>
          </w:p>
        </w:tc>
      </w:tr>
      <w:tr w:rsidR="002A3AC9" w14:paraId="2101FF89" w14:textId="77777777">
        <w:trPr>
          <w:cantSplit/>
        </w:trPr>
        <w:tc>
          <w:tcPr>
            <w:tcW w:w="4140" w:type="dxa"/>
            <w:tcBorders>
              <w:top w:val="single" w:sz="2" w:space="0" w:color="000000"/>
              <w:left w:val="single" w:sz="1" w:space="0" w:color="000000"/>
              <w:bottom w:val="single" w:sz="1" w:space="0" w:color="000000"/>
            </w:tcBorders>
          </w:tcPr>
          <w:p w14:paraId="2684AA4F" w14:textId="77777777" w:rsidR="002A3AC9" w:rsidRDefault="00EC5E4D">
            <w:pPr>
              <w:rPr>
                <w:i/>
                <w:sz w:val="22"/>
                <w:szCs w:val="22"/>
              </w:rPr>
            </w:pPr>
            <w:r>
              <w:rPr>
                <w:i/>
                <w:sz w:val="22"/>
                <w:szCs w:val="22"/>
              </w:rPr>
              <w:t>Propionibacterium acnes</w:t>
            </w:r>
          </w:p>
        </w:tc>
        <w:tc>
          <w:tcPr>
            <w:tcW w:w="2664" w:type="dxa"/>
            <w:tcBorders>
              <w:top w:val="single" w:sz="2" w:space="0" w:color="000000"/>
              <w:left w:val="single" w:sz="1" w:space="0" w:color="000000"/>
              <w:bottom w:val="single" w:sz="1" w:space="0" w:color="000000"/>
              <w:right w:val="single" w:sz="1" w:space="0" w:color="000000"/>
            </w:tcBorders>
          </w:tcPr>
          <w:p w14:paraId="4A8665F3" w14:textId="77777777" w:rsidR="002A3AC9" w:rsidRDefault="00EC5E4D">
            <w:pPr>
              <w:rPr>
                <w:sz w:val="22"/>
                <w:szCs w:val="22"/>
              </w:rPr>
            </w:pPr>
            <w:r>
              <w:rPr>
                <w:sz w:val="22"/>
                <w:szCs w:val="22"/>
              </w:rPr>
              <w:t>0,03</w:t>
            </w:r>
          </w:p>
        </w:tc>
      </w:tr>
      <w:tr w:rsidR="002A3AC9" w14:paraId="3CE0015F" w14:textId="77777777">
        <w:trPr>
          <w:cantSplit/>
        </w:trPr>
        <w:tc>
          <w:tcPr>
            <w:tcW w:w="4140" w:type="dxa"/>
            <w:tcBorders>
              <w:left w:val="single" w:sz="1" w:space="0" w:color="000000"/>
              <w:bottom w:val="single" w:sz="1" w:space="0" w:color="000000"/>
            </w:tcBorders>
          </w:tcPr>
          <w:p w14:paraId="64B4DF98" w14:textId="77777777" w:rsidR="002A3AC9" w:rsidRDefault="00EC5E4D">
            <w:pPr>
              <w:rPr>
                <w:i/>
                <w:sz w:val="22"/>
                <w:szCs w:val="22"/>
              </w:rPr>
            </w:pPr>
            <w:r>
              <w:rPr>
                <w:i/>
                <w:sz w:val="22"/>
                <w:szCs w:val="22"/>
              </w:rPr>
              <w:t>Chlamydia trachomatis</w:t>
            </w:r>
          </w:p>
        </w:tc>
        <w:tc>
          <w:tcPr>
            <w:tcW w:w="2664" w:type="dxa"/>
            <w:tcBorders>
              <w:left w:val="single" w:sz="1" w:space="0" w:color="000000"/>
              <w:bottom w:val="single" w:sz="1" w:space="0" w:color="000000"/>
              <w:right w:val="single" w:sz="1" w:space="0" w:color="000000"/>
            </w:tcBorders>
          </w:tcPr>
          <w:p w14:paraId="09F2A63C" w14:textId="77777777" w:rsidR="002A3AC9" w:rsidRDefault="00EC5E4D">
            <w:pPr>
              <w:rPr>
                <w:sz w:val="22"/>
                <w:szCs w:val="22"/>
              </w:rPr>
            </w:pPr>
            <w:r>
              <w:rPr>
                <w:sz w:val="22"/>
                <w:szCs w:val="22"/>
              </w:rPr>
              <w:t>0,125</w:t>
            </w:r>
          </w:p>
        </w:tc>
      </w:tr>
      <w:tr w:rsidR="002A3AC9" w14:paraId="1106ADB9" w14:textId="77777777">
        <w:trPr>
          <w:cantSplit/>
        </w:trPr>
        <w:tc>
          <w:tcPr>
            <w:tcW w:w="4140" w:type="dxa"/>
            <w:tcBorders>
              <w:left w:val="single" w:sz="1" w:space="0" w:color="000000"/>
              <w:bottom w:val="single" w:sz="1" w:space="0" w:color="000000"/>
            </w:tcBorders>
          </w:tcPr>
          <w:p w14:paraId="78A16E7A" w14:textId="77777777" w:rsidR="002A3AC9" w:rsidRDefault="00EC5E4D">
            <w:pPr>
              <w:rPr>
                <w:i/>
                <w:sz w:val="22"/>
                <w:szCs w:val="22"/>
              </w:rPr>
            </w:pPr>
            <w:r>
              <w:rPr>
                <w:i/>
                <w:sz w:val="22"/>
                <w:szCs w:val="22"/>
              </w:rPr>
              <w:t>Chlamydia pneumoniae</w:t>
            </w:r>
          </w:p>
        </w:tc>
        <w:tc>
          <w:tcPr>
            <w:tcW w:w="2664" w:type="dxa"/>
            <w:tcBorders>
              <w:left w:val="single" w:sz="1" w:space="0" w:color="000000"/>
              <w:bottom w:val="single" w:sz="1" w:space="0" w:color="000000"/>
              <w:right w:val="single" w:sz="1" w:space="0" w:color="000000"/>
            </w:tcBorders>
          </w:tcPr>
          <w:p w14:paraId="64183DC5" w14:textId="77777777" w:rsidR="002A3AC9" w:rsidRDefault="00EC5E4D">
            <w:pPr>
              <w:rPr>
                <w:sz w:val="22"/>
                <w:szCs w:val="22"/>
              </w:rPr>
            </w:pPr>
            <w:r>
              <w:rPr>
                <w:sz w:val="22"/>
                <w:szCs w:val="22"/>
              </w:rPr>
              <w:t>0,015 - 0,03</w:t>
            </w:r>
          </w:p>
        </w:tc>
      </w:tr>
      <w:tr w:rsidR="002A3AC9" w14:paraId="7E0B2A9B" w14:textId="77777777">
        <w:trPr>
          <w:cantSplit/>
        </w:trPr>
        <w:tc>
          <w:tcPr>
            <w:tcW w:w="4140" w:type="dxa"/>
            <w:tcBorders>
              <w:left w:val="single" w:sz="1" w:space="0" w:color="000000"/>
              <w:bottom w:val="single" w:sz="1" w:space="0" w:color="000000"/>
            </w:tcBorders>
          </w:tcPr>
          <w:p w14:paraId="48434F0C" w14:textId="77777777" w:rsidR="002A3AC9" w:rsidRDefault="00EC5E4D">
            <w:pPr>
              <w:rPr>
                <w:i/>
                <w:sz w:val="22"/>
                <w:szCs w:val="22"/>
              </w:rPr>
            </w:pPr>
            <w:r>
              <w:rPr>
                <w:i/>
                <w:sz w:val="22"/>
                <w:szCs w:val="22"/>
              </w:rPr>
              <w:t>Mycoplasma pneumoniae</w:t>
            </w:r>
          </w:p>
        </w:tc>
        <w:tc>
          <w:tcPr>
            <w:tcW w:w="2664" w:type="dxa"/>
            <w:tcBorders>
              <w:left w:val="single" w:sz="1" w:space="0" w:color="000000"/>
              <w:bottom w:val="single" w:sz="1" w:space="0" w:color="000000"/>
              <w:right w:val="single" w:sz="1" w:space="0" w:color="000000"/>
            </w:tcBorders>
          </w:tcPr>
          <w:p w14:paraId="593C6C14" w14:textId="77777777" w:rsidR="002A3AC9" w:rsidRDefault="00EC5E4D">
            <w:pPr>
              <w:rPr>
                <w:sz w:val="22"/>
                <w:szCs w:val="22"/>
              </w:rPr>
            </w:pPr>
            <w:r>
              <w:rPr>
                <w:sz w:val="22"/>
                <w:szCs w:val="22"/>
              </w:rPr>
              <w:t>0,03 - 0,5</w:t>
            </w:r>
          </w:p>
        </w:tc>
      </w:tr>
      <w:tr w:rsidR="002A3AC9" w14:paraId="50B38731" w14:textId="77777777">
        <w:trPr>
          <w:cantSplit/>
        </w:trPr>
        <w:tc>
          <w:tcPr>
            <w:tcW w:w="4140" w:type="dxa"/>
            <w:tcBorders>
              <w:left w:val="single" w:sz="1" w:space="0" w:color="000000"/>
              <w:bottom w:val="single" w:sz="1" w:space="0" w:color="000000"/>
            </w:tcBorders>
          </w:tcPr>
          <w:p w14:paraId="0D6E795E" w14:textId="77777777" w:rsidR="002A3AC9" w:rsidRDefault="00EC5E4D">
            <w:pPr>
              <w:rPr>
                <w:i/>
                <w:sz w:val="22"/>
                <w:szCs w:val="22"/>
              </w:rPr>
            </w:pPr>
            <w:r>
              <w:rPr>
                <w:i/>
                <w:sz w:val="22"/>
                <w:szCs w:val="22"/>
              </w:rPr>
              <w:t>Ureaplasma urealyticum</w:t>
            </w:r>
          </w:p>
        </w:tc>
        <w:tc>
          <w:tcPr>
            <w:tcW w:w="2664" w:type="dxa"/>
            <w:tcBorders>
              <w:left w:val="single" w:sz="1" w:space="0" w:color="000000"/>
              <w:bottom w:val="single" w:sz="1" w:space="0" w:color="000000"/>
              <w:right w:val="single" w:sz="1" w:space="0" w:color="000000"/>
            </w:tcBorders>
          </w:tcPr>
          <w:p w14:paraId="6232C4C4" w14:textId="77777777" w:rsidR="002A3AC9" w:rsidRDefault="00EC5E4D">
            <w:pPr>
              <w:rPr>
                <w:sz w:val="22"/>
                <w:szCs w:val="22"/>
              </w:rPr>
            </w:pPr>
            <w:r>
              <w:rPr>
                <w:sz w:val="22"/>
                <w:szCs w:val="22"/>
              </w:rPr>
              <w:t>0,025 - 1,0</w:t>
            </w:r>
          </w:p>
        </w:tc>
      </w:tr>
      <w:tr w:rsidR="002A3AC9" w14:paraId="79F94B94" w14:textId="77777777">
        <w:trPr>
          <w:cantSplit/>
        </w:trPr>
        <w:tc>
          <w:tcPr>
            <w:tcW w:w="4140" w:type="dxa"/>
            <w:tcBorders>
              <w:left w:val="single" w:sz="1" w:space="0" w:color="000000"/>
              <w:bottom w:val="single" w:sz="1" w:space="0" w:color="000000"/>
            </w:tcBorders>
          </w:tcPr>
          <w:p w14:paraId="12564389" w14:textId="77777777" w:rsidR="002A3AC9" w:rsidRDefault="00EC5E4D">
            <w:pPr>
              <w:rPr>
                <w:i/>
                <w:sz w:val="22"/>
                <w:szCs w:val="22"/>
              </w:rPr>
            </w:pPr>
            <w:r>
              <w:rPr>
                <w:i/>
                <w:sz w:val="22"/>
                <w:szCs w:val="22"/>
              </w:rPr>
              <w:t>Helicobacter pylori</w:t>
            </w:r>
          </w:p>
        </w:tc>
        <w:tc>
          <w:tcPr>
            <w:tcW w:w="2664" w:type="dxa"/>
            <w:tcBorders>
              <w:left w:val="single" w:sz="1" w:space="0" w:color="000000"/>
              <w:bottom w:val="single" w:sz="1" w:space="0" w:color="000000"/>
              <w:right w:val="single" w:sz="1" w:space="0" w:color="000000"/>
            </w:tcBorders>
          </w:tcPr>
          <w:p w14:paraId="1269A55B" w14:textId="77777777" w:rsidR="002A3AC9" w:rsidRDefault="00EC5E4D">
            <w:pPr>
              <w:rPr>
                <w:sz w:val="22"/>
                <w:szCs w:val="22"/>
              </w:rPr>
            </w:pPr>
            <w:r>
              <w:rPr>
                <w:sz w:val="22"/>
                <w:szCs w:val="22"/>
              </w:rPr>
              <w:t>0,03</w:t>
            </w:r>
          </w:p>
        </w:tc>
      </w:tr>
      <w:tr w:rsidR="002A3AC9" w14:paraId="0BF2944E" w14:textId="77777777">
        <w:trPr>
          <w:cantSplit/>
        </w:trPr>
        <w:tc>
          <w:tcPr>
            <w:tcW w:w="4140" w:type="dxa"/>
            <w:tcBorders>
              <w:left w:val="single" w:sz="1" w:space="0" w:color="000000"/>
              <w:bottom w:val="single" w:sz="1" w:space="0" w:color="000000"/>
            </w:tcBorders>
          </w:tcPr>
          <w:p w14:paraId="6BD55D75" w14:textId="77777777" w:rsidR="002A3AC9" w:rsidRDefault="00EC5E4D">
            <w:pPr>
              <w:rPr>
                <w:sz w:val="22"/>
                <w:szCs w:val="22"/>
              </w:rPr>
            </w:pPr>
            <w:r>
              <w:rPr>
                <w:i/>
                <w:sz w:val="22"/>
                <w:szCs w:val="22"/>
              </w:rPr>
              <w:t xml:space="preserve">Mycobacterium avium </w:t>
            </w:r>
            <w:r>
              <w:rPr>
                <w:sz w:val="22"/>
                <w:szCs w:val="22"/>
              </w:rPr>
              <w:t>(AIDS-szel)</w:t>
            </w:r>
          </w:p>
        </w:tc>
        <w:tc>
          <w:tcPr>
            <w:tcW w:w="2664" w:type="dxa"/>
            <w:tcBorders>
              <w:left w:val="single" w:sz="1" w:space="0" w:color="000000"/>
              <w:bottom w:val="single" w:sz="1" w:space="0" w:color="000000"/>
              <w:right w:val="single" w:sz="1" w:space="0" w:color="000000"/>
            </w:tcBorders>
          </w:tcPr>
          <w:p w14:paraId="736F3289" w14:textId="77777777" w:rsidR="002A3AC9" w:rsidRDefault="00EC5E4D">
            <w:pPr>
              <w:rPr>
                <w:sz w:val="22"/>
                <w:szCs w:val="22"/>
              </w:rPr>
            </w:pPr>
            <w:r>
              <w:rPr>
                <w:sz w:val="22"/>
                <w:szCs w:val="22"/>
              </w:rPr>
              <w:t>16</w:t>
            </w:r>
          </w:p>
        </w:tc>
      </w:tr>
      <w:tr w:rsidR="002A3AC9" w14:paraId="5D6A9735" w14:textId="77777777">
        <w:trPr>
          <w:cantSplit/>
        </w:trPr>
        <w:tc>
          <w:tcPr>
            <w:tcW w:w="4140" w:type="dxa"/>
            <w:tcBorders>
              <w:left w:val="single" w:sz="1" w:space="0" w:color="000000"/>
              <w:bottom w:val="single" w:sz="1" w:space="0" w:color="000000"/>
            </w:tcBorders>
          </w:tcPr>
          <w:p w14:paraId="7430226A" w14:textId="77777777" w:rsidR="002A3AC9" w:rsidRDefault="00EC5E4D">
            <w:pPr>
              <w:rPr>
                <w:sz w:val="22"/>
                <w:szCs w:val="22"/>
              </w:rPr>
            </w:pPr>
            <w:r>
              <w:rPr>
                <w:i/>
                <w:sz w:val="22"/>
                <w:szCs w:val="22"/>
              </w:rPr>
              <w:t xml:space="preserve">Mycobacterium avium </w:t>
            </w:r>
            <w:r>
              <w:rPr>
                <w:sz w:val="22"/>
                <w:szCs w:val="22"/>
              </w:rPr>
              <w:t>(AIDS nélkül)</w:t>
            </w:r>
          </w:p>
        </w:tc>
        <w:tc>
          <w:tcPr>
            <w:tcW w:w="2664" w:type="dxa"/>
            <w:tcBorders>
              <w:left w:val="single" w:sz="1" w:space="0" w:color="000000"/>
              <w:bottom w:val="single" w:sz="1" w:space="0" w:color="000000"/>
              <w:right w:val="single" w:sz="1" w:space="0" w:color="000000"/>
            </w:tcBorders>
          </w:tcPr>
          <w:p w14:paraId="75A5318B" w14:textId="77777777" w:rsidR="002A3AC9" w:rsidRDefault="00EC5E4D">
            <w:pPr>
              <w:rPr>
                <w:sz w:val="22"/>
                <w:szCs w:val="22"/>
              </w:rPr>
            </w:pPr>
            <w:r>
              <w:rPr>
                <w:sz w:val="22"/>
                <w:szCs w:val="22"/>
              </w:rPr>
              <w:t>8 - 16</w:t>
            </w:r>
          </w:p>
        </w:tc>
      </w:tr>
      <w:tr w:rsidR="002A3AC9" w14:paraId="42A9C99A" w14:textId="77777777">
        <w:trPr>
          <w:cantSplit/>
        </w:trPr>
        <w:tc>
          <w:tcPr>
            <w:tcW w:w="4140" w:type="dxa"/>
            <w:tcBorders>
              <w:left w:val="single" w:sz="1" w:space="0" w:color="000000"/>
              <w:bottom w:val="single" w:sz="1" w:space="0" w:color="000000"/>
            </w:tcBorders>
          </w:tcPr>
          <w:p w14:paraId="5D37B3E1" w14:textId="77777777" w:rsidR="002A3AC9" w:rsidRDefault="00EC5E4D">
            <w:pPr>
              <w:rPr>
                <w:i/>
                <w:sz w:val="22"/>
                <w:szCs w:val="22"/>
              </w:rPr>
            </w:pPr>
            <w:r>
              <w:rPr>
                <w:i/>
                <w:sz w:val="22"/>
                <w:szCs w:val="22"/>
              </w:rPr>
              <w:t>Mycobacterium fortuitum</w:t>
            </w:r>
          </w:p>
        </w:tc>
        <w:tc>
          <w:tcPr>
            <w:tcW w:w="2664" w:type="dxa"/>
            <w:tcBorders>
              <w:left w:val="single" w:sz="1" w:space="0" w:color="000000"/>
              <w:bottom w:val="single" w:sz="1" w:space="0" w:color="000000"/>
              <w:right w:val="single" w:sz="1" w:space="0" w:color="000000"/>
            </w:tcBorders>
          </w:tcPr>
          <w:p w14:paraId="3CFCA098" w14:textId="77777777" w:rsidR="002A3AC9" w:rsidRDefault="00EC5E4D">
            <w:pPr>
              <w:rPr>
                <w:sz w:val="22"/>
                <w:szCs w:val="22"/>
              </w:rPr>
            </w:pPr>
            <w:r>
              <w:rPr>
                <w:sz w:val="22"/>
                <w:szCs w:val="22"/>
              </w:rPr>
              <w:t>4</w:t>
            </w:r>
          </w:p>
        </w:tc>
      </w:tr>
      <w:tr w:rsidR="002A3AC9" w14:paraId="0DAA7003" w14:textId="77777777">
        <w:trPr>
          <w:cantSplit/>
        </w:trPr>
        <w:tc>
          <w:tcPr>
            <w:tcW w:w="4140" w:type="dxa"/>
            <w:tcBorders>
              <w:left w:val="single" w:sz="1" w:space="0" w:color="000000"/>
              <w:bottom w:val="single" w:sz="1" w:space="0" w:color="000000"/>
            </w:tcBorders>
          </w:tcPr>
          <w:p w14:paraId="06A7DF62" w14:textId="77777777" w:rsidR="002A3AC9" w:rsidRDefault="00EC5E4D">
            <w:pPr>
              <w:rPr>
                <w:i/>
                <w:sz w:val="22"/>
                <w:szCs w:val="22"/>
              </w:rPr>
            </w:pPr>
            <w:r>
              <w:rPr>
                <w:i/>
                <w:sz w:val="22"/>
                <w:szCs w:val="22"/>
              </w:rPr>
              <w:t>Mycobacterium kansasii</w:t>
            </w:r>
          </w:p>
        </w:tc>
        <w:tc>
          <w:tcPr>
            <w:tcW w:w="2664" w:type="dxa"/>
            <w:tcBorders>
              <w:left w:val="single" w:sz="1" w:space="0" w:color="000000"/>
              <w:bottom w:val="single" w:sz="1" w:space="0" w:color="000000"/>
              <w:right w:val="single" w:sz="1" w:space="0" w:color="000000"/>
            </w:tcBorders>
          </w:tcPr>
          <w:p w14:paraId="71315C2F" w14:textId="77777777" w:rsidR="002A3AC9" w:rsidRDefault="00EC5E4D">
            <w:pPr>
              <w:rPr>
                <w:sz w:val="22"/>
                <w:szCs w:val="22"/>
              </w:rPr>
            </w:pPr>
            <w:r>
              <w:rPr>
                <w:sz w:val="22"/>
                <w:szCs w:val="22"/>
              </w:rPr>
              <w:t>1</w:t>
            </w:r>
          </w:p>
        </w:tc>
      </w:tr>
      <w:tr w:rsidR="002A3AC9" w14:paraId="07D8781B" w14:textId="77777777">
        <w:trPr>
          <w:cantSplit/>
        </w:trPr>
        <w:tc>
          <w:tcPr>
            <w:tcW w:w="4140" w:type="dxa"/>
            <w:tcBorders>
              <w:left w:val="single" w:sz="1" w:space="0" w:color="000000"/>
              <w:bottom w:val="single" w:sz="1" w:space="0" w:color="000000"/>
            </w:tcBorders>
          </w:tcPr>
          <w:p w14:paraId="5E97DD28" w14:textId="77777777" w:rsidR="002A3AC9" w:rsidRDefault="00EC5E4D">
            <w:pPr>
              <w:rPr>
                <w:i/>
                <w:sz w:val="22"/>
                <w:szCs w:val="22"/>
              </w:rPr>
            </w:pPr>
            <w:r>
              <w:rPr>
                <w:i/>
                <w:sz w:val="22"/>
                <w:szCs w:val="22"/>
              </w:rPr>
              <w:t>Mycobacterium xenopi</w:t>
            </w:r>
          </w:p>
        </w:tc>
        <w:tc>
          <w:tcPr>
            <w:tcW w:w="2664" w:type="dxa"/>
            <w:tcBorders>
              <w:left w:val="single" w:sz="1" w:space="0" w:color="000000"/>
              <w:bottom w:val="single" w:sz="1" w:space="0" w:color="000000"/>
              <w:right w:val="single" w:sz="1" w:space="0" w:color="000000"/>
            </w:tcBorders>
          </w:tcPr>
          <w:p w14:paraId="030C3EF9" w14:textId="77777777" w:rsidR="002A3AC9" w:rsidRDefault="00EC5E4D">
            <w:pPr>
              <w:rPr>
                <w:sz w:val="22"/>
                <w:szCs w:val="22"/>
              </w:rPr>
            </w:pPr>
            <w:r>
              <w:rPr>
                <w:sz w:val="22"/>
                <w:szCs w:val="22"/>
              </w:rPr>
              <w:t>0,25 - 0,5</w:t>
            </w:r>
          </w:p>
        </w:tc>
      </w:tr>
      <w:tr w:rsidR="002A3AC9" w14:paraId="7FA73154" w14:textId="77777777">
        <w:trPr>
          <w:cantSplit/>
        </w:trPr>
        <w:tc>
          <w:tcPr>
            <w:tcW w:w="4140" w:type="dxa"/>
            <w:tcBorders>
              <w:left w:val="single" w:sz="1" w:space="0" w:color="000000"/>
              <w:bottom w:val="single" w:sz="1" w:space="0" w:color="000000"/>
            </w:tcBorders>
          </w:tcPr>
          <w:p w14:paraId="16844648" w14:textId="77777777" w:rsidR="002A3AC9" w:rsidRDefault="00EC5E4D">
            <w:pPr>
              <w:rPr>
                <w:i/>
                <w:sz w:val="22"/>
                <w:szCs w:val="22"/>
              </w:rPr>
            </w:pPr>
            <w:r>
              <w:rPr>
                <w:i/>
                <w:sz w:val="22"/>
                <w:szCs w:val="22"/>
              </w:rPr>
              <w:t>Mycobacterium chelonae</w:t>
            </w:r>
          </w:p>
        </w:tc>
        <w:tc>
          <w:tcPr>
            <w:tcW w:w="2664" w:type="dxa"/>
            <w:tcBorders>
              <w:left w:val="single" w:sz="1" w:space="0" w:color="000000"/>
              <w:bottom w:val="single" w:sz="1" w:space="0" w:color="000000"/>
              <w:right w:val="single" w:sz="1" w:space="0" w:color="000000"/>
            </w:tcBorders>
          </w:tcPr>
          <w:p w14:paraId="6B88F18A" w14:textId="77777777" w:rsidR="002A3AC9" w:rsidRDefault="00EC5E4D">
            <w:pPr>
              <w:rPr>
                <w:sz w:val="22"/>
                <w:szCs w:val="22"/>
              </w:rPr>
            </w:pPr>
            <w:r>
              <w:rPr>
                <w:sz w:val="22"/>
                <w:szCs w:val="22"/>
              </w:rPr>
              <w:t>0,25</w:t>
            </w:r>
          </w:p>
        </w:tc>
      </w:tr>
      <w:tr w:rsidR="002A3AC9" w14:paraId="2988D607" w14:textId="77777777">
        <w:trPr>
          <w:cantSplit/>
        </w:trPr>
        <w:tc>
          <w:tcPr>
            <w:tcW w:w="4140" w:type="dxa"/>
            <w:tcBorders>
              <w:left w:val="single" w:sz="1" w:space="0" w:color="000000"/>
              <w:bottom w:val="single" w:sz="1" w:space="0" w:color="000000"/>
            </w:tcBorders>
          </w:tcPr>
          <w:p w14:paraId="4C1C6537" w14:textId="77777777" w:rsidR="002A3AC9" w:rsidRDefault="00EC5E4D">
            <w:pPr>
              <w:rPr>
                <w:i/>
                <w:sz w:val="22"/>
                <w:szCs w:val="22"/>
              </w:rPr>
            </w:pPr>
            <w:r>
              <w:rPr>
                <w:i/>
                <w:sz w:val="22"/>
                <w:szCs w:val="22"/>
              </w:rPr>
              <w:t>Mycobacterium abscessus</w:t>
            </w:r>
          </w:p>
        </w:tc>
        <w:tc>
          <w:tcPr>
            <w:tcW w:w="2664" w:type="dxa"/>
            <w:tcBorders>
              <w:left w:val="single" w:sz="1" w:space="0" w:color="000000"/>
              <w:bottom w:val="single" w:sz="1" w:space="0" w:color="000000"/>
              <w:right w:val="single" w:sz="1" w:space="0" w:color="000000"/>
            </w:tcBorders>
          </w:tcPr>
          <w:p w14:paraId="7863D900" w14:textId="77777777" w:rsidR="002A3AC9" w:rsidRDefault="00EC5E4D">
            <w:pPr>
              <w:rPr>
                <w:sz w:val="22"/>
                <w:szCs w:val="22"/>
              </w:rPr>
            </w:pPr>
            <w:r>
              <w:rPr>
                <w:sz w:val="22"/>
                <w:szCs w:val="22"/>
              </w:rPr>
              <w:t>1</w:t>
            </w:r>
          </w:p>
        </w:tc>
      </w:tr>
    </w:tbl>
    <w:p w14:paraId="01879C4B" w14:textId="77777777" w:rsidR="002A3AC9" w:rsidRDefault="002A3AC9">
      <w:pPr>
        <w:tabs>
          <w:tab w:val="left" w:pos="567"/>
        </w:tabs>
        <w:rPr>
          <w:sz w:val="22"/>
          <w:szCs w:val="22"/>
        </w:rPr>
      </w:pPr>
    </w:p>
    <w:p w14:paraId="4A83A33E" w14:textId="77777777" w:rsidR="002A3AC9" w:rsidRDefault="00EC5E4D">
      <w:pPr>
        <w:tabs>
          <w:tab w:val="left" w:pos="567"/>
        </w:tabs>
        <w:rPr>
          <w:sz w:val="22"/>
          <w:szCs w:val="22"/>
        </w:rPr>
      </w:pPr>
      <w:r>
        <w:rPr>
          <w:sz w:val="22"/>
          <w:szCs w:val="22"/>
        </w:rPr>
        <w:t xml:space="preserve">A mikrobák klaritromicinnel szembeni érzékenységét standardizált dilúciós eljárással határozzák meg. A klaritromicinre érzékeny mikroorganizmusok MIC értéke </w:t>
      </w:r>
      <w:r>
        <w:rPr>
          <w:rFonts w:ascii="Symbol" w:hAnsi="Symbol"/>
          <w:sz w:val="22"/>
          <w:szCs w:val="22"/>
        </w:rPr>
        <w:t></w:t>
      </w:r>
      <w:r>
        <w:rPr>
          <w:sz w:val="22"/>
          <w:szCs w:val="22"/>
        </w:rPr>
        <w:t xml:space="preserve"> 2 mikrogramm/ml, a mérsékelten érzékenyeké 4 mikrogramm/ml, a rezisztenseké </w:t>
      </w:r>
      <w:r>
        <w:rPr>
          <w:rFonts w:ascii="Symbol" w:hAnsi="Symbol"/>
          <w:sz w:val="22"/>
          <w:szCs w:val="22"/>
        </w:rPr>
        <w:t></w:t>
      </w:r>
      <w:r>
        <w:rPr>
          <w:sz w:val="22"/>
          <w:szCs w:val="22"/>
        </w:rPr>
        <w:t xml:space="preserve"> 8 mikrogramm/ml. A </w:t>
      </w:r>
      <w:r>
        <w:rPr>
          <w:i/>
          <w:sz w:val="22"/>
          <w:szCs w:val="22"/>
        </w:rPr>
        <w:t>Haemophilus influenzae</w:t>
      </w:r>
      <w:r>
        <w:rPr>
          <w:sz w:val="22"/>
          <w:szCs w:val="22"/>
        </w:rPr>
        <w:t xml:space="preserve"> esetében </w:t>
      </w:r>
      <w:r>
        <w:rPr>
          <w:rFonts w:ascii="Symbol" w:hAnsi="Symbol"/>
          <w:sz w:val="22"/>
          <w:szCs w:val="22"/>
        </w:rPr>
        <w:t></w:t>
      </w:r>
      <w:r>
        <w:rPr>
          <w:sz w:val="22"/>
          <w:szCs w:val="22"/>
        </w:rPr>
        <w:t> 8 mikrogramm/ml MIC esetén minősül klaritromicin-érzékenynek.</w:t>
      </w:r>
    </w:p>
    <w:p w14:paraId="371A4BA1" w14:textId="77777777" w:rsidR="002A3AC9" w:rsidRDefault="00EC5E4D">
      <w:pPr>
        <w:tabs>
          <w:tab w:val="left" w:pos="567"/>
        </w:tabs>
        <w:rPr>
          <w:sz w:val="22"/>
          <w:szCs w:val="22"/>
        </w:rPr>
      </w:pPr>
      <w:r>
        <w:rPr>
          <w:sz w:val="22"/>
          <w:szCs w:val="22"/>
        </w:rPr>
        <w:t xml:space="preserve">A standardizált eljárás során felhasznált kontroll törzs a </w:t>
      </w:r>
      <w:r>
        <w:rPr>
          <w:i/>
          <w:sz w:val="22"/>
          <w:szCs w:val="22"/>
        </w:rPr>
        <w:t>S. aureus</w:t>
      </w:r>
      <w:r>
        <w:rPr>
          <w:sz w:val="22"/>
          <w:szCs w:val="22"/>
        </w:rPr>
        <w:t xml:space="preserve"> ATCC 29213, aminek MIC értéke a 0,12-0,5 mikrogramm/ml tartományban kell lennie.</w:t>
      </w:r>
    </w:p>
    <w:p w14:paraId="06D43715" w14:textId="77777777" w:rsidR="002A3AC9" w:rsidRDefault="00EC5E4D">
      <w:pPr>
        <w:tabs>
          <w:tab w:val="left" w:pos="567"/>
        </w:tabs>
        <w:rPr>
          <w:sz w:val="22"/>
          <w:szCs w:val="22"/>
        </w:rPr>
      </w:pPr>
      <w:r>
        <w:rPr>
          <w:sz w:val="22"/>
          <w:szCs w:val="22"/>
        </w:rPr>
        <w:t xml:space="preserve">A Mycobacteriumok és a </w:t>
      </w:r>
      <w:r>
        <w:rPr>
          <w:i/>
          <w:sz w:val="22"/>
          <w:szCs w:val="22"/>
        </w:rPr>
        <w:t>H. pylori</w:t>
      </w:r>
      <w:r>
        <w:rPr>
          <w:sz w:val="22"/>
          <w:szCs w:val="22"/>
        </w:rPr>
        <w:t xml:space="preserve"> érzékenységének vizsgálatára többféle, nem standardizált módszer használatos.</w:t>
      </w:r>
    </w:p>
    <w:p w14:paraId="1651E112" w14:textId="77777777" w:rsidR="002A3AC9" w:rsidRDefault="002A3AC9">
      <w:pPr>
        <w:tabs>
          <w:tab w:val="left" w:pos="567"/>
        </w:tabs>
        <w:rPr>
          <w:sz w:val="22"/>
          <w:szCs w:val="22"/>
        </w:rPr>
      </w:pPr>
    </w:p>
    <w:p w14:paraId="5E342B1B" w14:textId="77777777" w:rsidR="002A3AC9" w:rsidRDefault="00EC5E4D">
      <w:pPr>
        <w:tabs>
          <w:tab w:val="left" w:pos="567"/>
        </w:tabs>
        <w:rPr>
          <w:i/>
          <w:sz w:val="22"/>
          <w:szCs w:val="22"/>
        </w:rPr>
      </w:pPr>
      <w:r>
        <w:rPr>
          <w:i/>
          <w:sz w:val="22"/>
          <w:szCs w:val="22"/>
        </w:rPr>
        <w:t>A klaritromicin hatása a bélflórára</w:t>
      </w:r>
    </w:p>
    <w:p w14:paraId="12669429" w14:textId="77777777" w:rsidR="002A3AC9" w:rsidRDefault="00EC5E4D">
      <w:pPr>
        <w:tabs>
          <w:tab w:val="left" w:pos="567"/>
        </w:tabs>
        <w:rPr>
          <w:sz w:val="22"/>
          <w:szCs w:val="22"/>
        </w:rPr>
      </w:pPr>
      <w:r>
        <w:rPr>
          <w:sz w:val="22"/>
          <w:szCs w:val="22"/>
        </w:rPr>
        <w:t xml:space="preserve">A klaritromicinnek a bél baktériumflórájára kifejtett hatását egészséges önkénteseknél tanulmányozták. A kísérleti alanyokat 7 napon keresztül 2-szer 250 mg/nap dózisban adagolt klaritromicinnel kezelték. A Staphylococcusok, Micrococcusok, Enterococcusok, aerob diphtheroidok anaerob coccusok, Eubacteriumok, Clostridiumok és Veilonellák száma nem változott számottevően. A klaritromicin közepes mértékben gátolta a Streptococcusok, a Gram-negatív bélbaktériumok, a Lactobacillusok, a Bifidobacteriumok és a </w:t>
      </w:r>
      <w:r>
        <w:rPr>
          <w:i/>
          <w:sz w:val="22"/>
          <w:szCs w:val="22"/>
        </w:rPr>
        <w:t>Bacteroides</w:t>
      </w:r>
      <w:r>
        <w:rPr>
          <w:sz w:val="22"/>
          <w:szCs w:val="22"/>
        </w:rPr>
        <w:t xml:space="preserve"> fajok szaporodását. Két önkéntesben a </w:t>
      </w:r>
      <w:r>
        <w:rPr>
          <w:i/>
          <w:sz w:val="22"/>
          <w:szCs w:val="22"/>
        </w:rPr>
        <w:t>Candida albicans</w:t>
      </w:r>
      <w:r>
        <w:rPr>
          <w:sz w:val="22"/>
          <w:szCs w:val="22"/>
        </w:rPr>
        <w:t xml:space="preserve"> mérsékelt felszaporodását észlelték.</w:t>
      </w:r>
    </w:p>
    <w:p w14:paraId="044EAB36" w14:textId="77777777" w:rsidR="002A3AC9" w:rsidRDefault="002A3AC9">
      <w:pPr>
        <w:tabs>
          <w:tab w:val="left" w:pos="567"/>
        </w:tabs>
        <w:rPr>
          <w:sz w:val="22"/>
          <w:szCs w:val="22"/>
        </w:rPr>
      </w:pPr>
    </w:p>
    <w:p w14:paraId="590AE093" w14:textId="77777777" w:rsidR="002A3AC9" w:rsidRDefault="00EC5E4D">
      <w:pPr>
        <w:pStyle w:val="03"/>
        <w:keepNext/>
        <w:tabs>
          <w:tab w:val="left" w:pos="567"/>
        </w:tabs>
        <w:spacing w:before="0" w:after="0" w:line="240" w:lineRule="auto"/>
        <w:ind w:firstLine="0"/>
        <w:jc w:val="left"/>
        <w:rPr>
          <w:b w:val="0"/>
          <w:sz w:val="22"/>
          <w:szCs w:val="22"/>
        </w:rPr>
      </w:pPr>
      <w:r>
        <w:rPr>
          <w:b w:val="0"/>
          <w:sz w:val="22"/>
          <w:szCs w:val="22"/>
        </w:rPr>
        <w:lastRenderedPageBreak/>
        <w:t>Rezisztencia makrolid antibiotikumokkal szemben</w:t>
      </w:r>
    </w:p>
    <w:p w14:paraId="11565CD1" w14:textId="77777777" w:rsidR="002A3AC9" w:rsidRDefault="00EC5E4D">
      <w:pPr>
        <w:keepNext/>
        <w:tabs>
          <w:tab w:val="left" w:pos="567"/>
        </w:tabs>
        <w:rPr>
          <w:sz w:val="22"/>
          <w:szCs w:val="22"/>
        </w:rPr>
      </w:pPr>
      <w:r>
        <w:rPr>
          <w:sz w:val="22"/>
          <w:szCs w:val="22"/>
        </w:rPr>
        <w:t>A makrolid-rezisztens Pneumococcusok részaránya Európában 1996-ban végzett felmérés szerint 2,7</w:t>
      </w:r>
      <w:r>
        <w:rPr>
          <w:sz w:val="22"/>
          <w:szCs w:val="22"/>
        </w:rPr>
        <w:noBreakHyphen/>
        <w:t xml:space="preserve">40,6%. A rezisztens </w:t>
      </w:r>
      <w:r>
        <w:rPr>
          <w:i/>
          <w:sz w:val="22"/>
          <w:szCs w:val="22"/>
        </w:rPr>
        <w:t>S. pyogenes</w:t>
      </w:r>
      <w:r>
        <w:rPr>
          <w:sz w:val="22"/>
          <w:szCs w:val="22"/>
        </w:rPr>
        <w:t xml:space="preserve"> törzsek részaránya általában 5% alatt maradt. Ugyanebben az évben 6,9%-ra nőtt az eritromicinre rezisztens </w:t>
      </w:r>
      <w:r>
        <w:rPr>
          <w:i/>
          <w:sz w:val="22"/>
          <w:szCs w:val="22"/>
        </w:rPr>
        <w:t>S. aureus</w:t>
      </w:r>
      <w:r>
        <w:rPr>
          <w:sz w:val="22"/>
          <w:szCs w:val="22"/>
        </w:rPr>
        <w:t xml:space="preserve"> törzsek részaránya. A </w:t>
      </w:r>
      <w:r>
        <w:rPr>
          <w:i/>
          <w:sz w:val="22"/>
          <w:szCs w:val="22"/>
        </w:rPr>
        <w:t>M. catarrhalis</w:t>
      </w:r>
      <w:r>
        <w:rPr>
          <w:sz w:val="22"/>
          <w:szCs w:val="22"/>
        </w:rPr>
        <w:t xml:space="preserve"> és a </w:t>
      </w:r>
      <w:r>
        <w:rPr>
          <w:i/>
          <w:sz w:val="22"/>
          <w:szCs w:val="22"/>
        </w:rPr>
        <w:t>C. diphtheriae</w:t>
      </w:r>
      <w:r>
        <w:rPr>
          <w:sz w:val="22"/>
          <w:szCs w:val="22"/>
        </w:rPr>
        <w:t xml:space="preserve"> esetében ritka, Mycoplasmák és </w:t>
      </w:r>
      <w:r>
        <w:rPr>
          <w:i/>
          <w:sz w:val="22"/>
          <w:szCs w:val="22"/>
        </w:rPr>
        <w:t>Chlamydia pneumoniae</w:t>
      </w:r>
      <w:r>
        <w:rPr>
          <w:sz w:val="22"/>
          <w:szCs w:val="22"/>
        </w:rPr>
        <w:t xml:space="preserve"> esetében elenyésző a klaritromicin rezisztencia. Az eritromicinnel és a klaritromicinnel szemben gyakran keresztrezisztencia alakul ki, ezért az </w:t>
      </w:r>
      <w:r>
        <w:rPr>
          <w:i/>
          <w:sz w:val="22"/>
          <w:szCs w:val="22"/>
        </w:rPr>
        <w:t>in vitro</w:t>
      </w:r>
      <w:r>
        <w:rPr>
          <w:sz w:val="22"/>
          <w:szCs w:val="22"/>
        </w:rPr>
        <w:t xml:space="preserve"> tesztek eredményei alapján eritromicinre rezisztens mikrobákat az antibiogram elvégzéséig klaritromicin-rezisztenseknek kell tekinteni.</w:t>
      </w:r>
    </w:p>
    <w:p w14:paraId="3933899B" w14:textId="77777777" w:rsidR="002A3AC9" w:rsidRDefault="00EC5E4D">
      <w:pPr>
        <w:tabs>
          <w:tab w:val="left" w:pos="567"/>
        </w:tabs>
        <w:rPr>
          <w:sz w:val="22"/>
          <w:szCs w:val="22"/>
        </w:rPr>
      </w:pPr>
      <w:r>
        <w:rPr>
          <w:sz w:val="22"/>
          <w:szCs w:val="22"/>
        </w:rPr>
        <w:t>A Gram-negatív baktériumok (például Enterobacteriaceae, Pseudomonas, és Acinetobacter fajok) klaritromicin-rezisztenciája minden bizonnyal abból ered, hogy e baktériumok külső sejtmembránja antibiotikumok számára viszonylag kevéssé átjárható. A makrolid-típusú antibiotikumokkal szemben a következő mechanizmusok alapján alakulhat ki szerzett rezisztencia:</w:t>
      </w:r>
    </w:p>
    <w:p w14:paraId="0932C452" w14:textId="77777777" w:rsidR="002A3AC9" w:rsidRDefault="00EC5E4D">
      <w:pPr>
        <w:numPr>
          <w:ilvl w:val="0"/>
          <w:numId w:val="15"/>
        </w:numPr>
        <w:tabs>
          <w:tab w:val="left" w:pos="540"/>
        </w:tabs>
        <w:ind w:left="540" w:hanging="540"/>
        <w:rPr>
          <w:i/>
          <w:sz w:val="22"/>
          <w:szCs w:val="22"/>
        </w:rPr>
      </w:pPr>
      <w:r>
        <w:rPr>
          <w:sz w:val="22"/>
          <w:szCs w:val="22"/>
        </w:rPr>
        <w:t xml:space="preserve">Az antibiotikum fokozott mértékben történő kipumpálása a baktériumsejtből (például </w:t>
      </w:r>
      <w:r>
        <w:rPr>
          <w:i/>
          <w:sz w:val="22"/>
          <w:szCs w:val="22"/>
        </w:rPr>
        <w:t>S. epidermidis);</w:t>
      </w:r>
    </w:p>
    <w:p w14:paraId="7BA23C6D" w14:textId="77777777" w:rsidR="002A3AC9" w:rsidRDefault="00EC5E4D">
      <w:pPr>
        <w:numPr>
          <w:ilvl w:val="0"/>
          <w:numId w:val="15"/>
        </w:numPr>
        <w:tabs>
          <w:tab w:val="left" w:pos="540"/>
        </w:tabs>
        <w:ind w:left="540" w:hanging="540"/>
        <w:rPr>
          <w:sz w:val="22"/>
          <w:szCs w:val="22"/>
        </w:rPr>
      </w:pPr>
      <w:r>
        <w:rPr>
          <w:sz w:val="22"/>
          <w:szCs w:val="22"/>
        </w:rPr>
        <w:t xml:space="preserve">enzimek (észterázok, foszfotranszferázok) inaktiválása (például </w:t>
      </w:r>
      <w:r>
        <w:rPr>
          <w:i/>
          <w:sz w:val="22"/>
          <w:szCs w:val="22"/>
        </w:rPr>
        <w:t>E. coli</w:t>
      </w:r>
      <w:r>
        <w:rPr>
          <w:sz w:val="22"/>
          <w:szCs w:val="22"/>
        </w:rPr>
        <w:t xml:space="preserve">, </w:t>
      </w:r>
      <w:r>
        <w:rPr>
          <w:i/>
          <w:sz w:val="22"/>
          <w:szCs w:val="22"/>
        </w:rPr>
        <w:t>P. aeruginosa</w:t>
      </w:r>
      <w:r>
        <w:rPr>
          <w:sz w:val="22"/>
          <w:szCs w:val="22"/>
        </w:rPr>
        <w:t>);</w:t>
      </w:r>
    </w:p>
    <w:p w14:paraId="19F51C1C" w14:textId="77777777" w:rsidR="002A3AC9" w:rsidRDefault="00EC5E4D">
      <w:pPr>
        <w:numPr>
          <w:ilvl w:val="0"/>
          <w:numId w:val="15"/>
        </w:numPr>
        <w:tabs>
          <w:tab w:val="left" w:pos="540"/>
        </w:tabs>
        <w:ind w:left="540" w:hanging="540"/>
        <w:rPr>
          <w:sz w:val="22"/>
          <w:szCs w:val="22"/>
        </w:rPr>
      </w:pPr>
      <w:r>
        <w:rPr>
          <w:sz w:val="22"/>
          <w:szCs w:val="22"/>
        </w:rPr>
        <w:t>a makrolid-kötőhely konformációjának megváltozása (ez a leggyakoribb mechanizmus).</w:t>
      </w:r>
    </w:p>
    <w:p w14:paraId="6B44110C" w14:textId="77777777" w:rsidR="002A3AC9" w:rsidRDefault="002A3AC9">
      <w:pPr>
        <w:tabs>
          <w:tab w:val="left" w:pos="927"/>
        </w:tabs>
        <w:rPr>
          <w:sz w:val="22"/>
          <w:szCs w:val="22"/>
        </w:rPr>
      </w:pPr>
    </w:p>
    <w:p w14:paraId="2D4EE003" w14:textId="77777777" w:rsidR="002A3AC9" w:rsidRDefault="00EC5E4D">
      <w:pPr>
        <w:tabs>
          <w:tab w:val="left" w:pos="927"/>
        </w:tabs>
        <w:rPr>
          <w:sz w:val="22"/>
          <w:szCs w:val="22"/>
        </w:rPr>
      </w:pPr>
      <w:r>
        <w:rPr>
          <w:sz w:val="22"/>
          <w:szCs w:val="22"/>
        </w:rPr>
        <w:t>A makrolidokkal szembeni rezisztencia konstitutív és indukált egyaránt lehet. Az előbbi az összes makrolid antibiotikumra (linkozamidokra és sztreptogramin B-re, [MLS</w:t>
      </w:r>
      <w:r>
        <w:rPr>
          <w:sz w:val="22"/>
          <w:szCs w:val="22"/>
          <w:vertAlign w:val="subscript"/>
        </w:rPr>
        <w:t>B</w:t>
      </w:r>
      <w:r>
        <w:rPr>
          <w:sz w:val="22"/>
          <w:szCs w:val="22"/>
        </w:rPr>
        <w:t xml:space="preserve">] is) kiterjedő keresztrezisztencia. Az indukált rezisztencia ellenben csak a </w:t>
      </w:r>
      <w:smartTag w:uri="urn:schemas-microsoft-com:office:smarttags" w:element="metricconverter">
        <w:smartTagPr>
          <w:attr w:name="ProductID" w:val="14’"/>
        </w:smartTagPr>
        <w:r>
          <w:rPr>
            <w:sz w:val="22"/>
            <w:szCs w:val="22"/>
          </w:rPr>
          <w:t>14’</w:t>
        </w:r>
      </w:smartTag>
      <w:r>
        <w:rPr>
          <w:sz w:val="22"/>
          <w:szCs w:val="22"/>
        </w:rPr>
        <w:t xml:space="preserve">, illetve </w:t>
      </w:r>
      <w:smartTag w:uri="urn:schemas-microsoft-com:office:smarttags" w:element="metricconverter">
        <w:smartTagPr>
          <w:attr w:name="ProductID" w:val="15’"/>
        </w:smartTagPr>
        <w:r>
          <w:rPr>
            <w:sz w:val="22"/>
            <w:szCs w:val="22"/>
          </w:rPr>
          <w:t>15’</w:t>
        </w:r>
      </w:smartTag>
      <w:r>
        <w:rPr>
          <w:sz w:val="22"/>
          <w:szCs w:val="22"/>
        </w:rPr>
        <w:t xml:space="preserve"> pozícióban laktongyűrűt hordozó vegyületekre (eritromicin, roxitromicin, klaritromicin, illetve azitromicin) terjed ki, a </w:t>
      </w:r>
      <w:smartTag w:uri="urn:schemas-microsoft-com:office:smarttags" w:element="metricconverter">
        <w:smartTagPr>
          <w:attr w:name="ProductID" w:val="16’"/>
        </w:smartTagPr>
        <w:r>
          <w:rPr>
            <w:sz w:val="22"/>
            <w:szCs w:val="22"/>
          </w:rPr>
          <w:t>16’</w:t>
        </w:r>
      </w:smartTag>
      <w:r>
        <w:rPr>
          <w:sz w:val="22"/>
          <w:szCs w:val="22"/>
        </w:rPr>
        <w:t xml:space="preserve"> szubsztituáltakkal (spiramicin, jozamicin, midekamicin, miokamicin), a linkozamidokkal és sztreptogramin B-vel szemben nem érvényesül. MLS</w:t>
      </w:r>
      <w:r>
        <w:rPr>
          <w:sz w:val="22"/>
          <w:szCs w:val="22"/>
          <w:vertAlign w:val="subscript"/>
        </w:rPr>
        <w:t>B</w:t>
      </w:r>
      <w:r>
        <w:rPr>
          <w:sz w:val="22"/>
          <w:szCs w:val="22"/>
        </w:rPr>
        <w:t xml:space="preserve">-rezisztens mikrobák: </w:t>
      </w:r>
      <w:r>
        <w:rPr>
          <w:i/>
          <w:sz w:val="22"/>
          <w:szCs w:val="22"/>
        </w:rPr>
        <w:t>S. aureus</w:t>
      </w:r>
      <w:r>
        <w:rPr>
          <w:sz w:val="22"/>
          <w:szCs w:val="22"/>
        </w:rPr>
        <w:t xml:space="preserve">, </w:t>
      </w:r>
      <w:r>
        <w:rPr>
          <w:i/>
          <w:sz w:val="22"/>
          <w:szCs w:val="22"/>
        </w:rPr>
        <w:t>S. pyogenes</w:t>
      </w:r>
      <w:r>
        <w:rPr>
          <w:sz w:val="22"/>
          <w:szCs w:val="22"/>
        </w:rPr>
        <w:t xml:space="preserve">, </w:t>
      </w:r>
      <w:r>
        <w:rPr>
          <w:i/>
          <w:sz w:val="22"/>
          <w:szCs w:val="22"/>
        </w:rPr>
        <w:t>S. pneumoniae</w:t>
      </w:r>
      <w:r>
        <w:rPr>
          <w:sz w:val="22"/>
          <w:szCs w:val="22"/>
        </w:rPr>
        <w:t xml:space="preserve">, </w:t>
      </w:r>
      <w:r>
        <w:rPr>
          <w:i/>
          <w:sz w:val="22"/>
          <w:szCs w:val="22"/>
        </w:rPr>
        <w:t>Enterococcus faecalis</w:t>
      </w:r>
      <w:r>
        <w:rPr>
          <w:sz w:val="22"/>
          <w:szCs w:val="22"/>
        </w:rPr>
        <w:t>, Clostridium és Bacteroides fajok.</w:t>
      </w:r>
    </w:p>
    <w:p w14:paraId="45F4A73C" w14:textId="77777777" w:rsidR="002A3AC9" w:rsidRDefault="00EC5E4D">
      <w:pPr>
        <w:tabs>
          <w:tab w:val="left" w:pos="927"/>
        </w:tabs>
        <w:rPr>
          <w:sz w:val="22"/>
          <w:szCs w:val="22"/>
        </w:rPr>
      </w:pPr>
      <w:r>
        <w:rPr>
          <w:sz w:val="22"/>
          <w:szCs w:val="22"/>
        </w:rPr>
        <w:t xml:space="preserve">Az antibiotikum baktériumsejtből történő fokozott kipumpálása által okozott rezisztenciát a </w:t>
      </w:r>
      <w:r>
        <w:rPr>
          <w:i/>
          <w:sz w:val="22"/>
          <w:szCs w:val="22"/>
        </w:rPr>
        <w:t>S. epidermidis</w:t>
      </w:r>
      <w:r>
        <w:rPr>
          <w:sz w:val="22"/>
          <w:szCs w:val="22"/>
        </w:rPr>
        <w:t xml:space="preserve">en írták le és a közelmúltban számos „M” fenotípusú Streptococcuson is észlelték. Ezek a mikrobák a </w:t>
      </w:r>
      <w:smartTag w:uri="urn:schemas-microsoft-com:office:smarttags" w:element="metricconverter">
        <w:smartTagPr>
          <w:attr w:name="ProductID" w:val="14’"/>
        </w:smartTagPr>
        <w:r>
          <w:rPr>
            <w:sz w:val="22"/>
            <w:szCs w:val="22"/>
          </w:rPr>
          <w:t>14’</w:t>
        </w:r>
      </w:smartTag>
      <w:r>
        <w:rPr>
          <w:sz w:val="22"/>
          <w:szCs w:val="22"/>
        </w:rPr>
        <w:t xml:space="preserve"> vagy </w:t>
      </w:r>
      <w:smartTag w:uri="urn:schemas-microsoft-com:office:smarttags" w:element="metricconverter">
        <w:smartTagPr>
          <w:attr w:name="ProductID" w:val="15’"/>
        </w:smartTagPr>
        <w:r>
          <w:rPr>
            <w:sz w:val="22"/>
            <w:szCs w:val="22"/>
          </w:rPr>
          <w:t>15’</w:t>
        </w:r>
      </w:smartTag>
      <w:r>
        <w:rPr>
          <w:sz w:val="22"/>
          <w:szCs w:val="22"/>
        </w:rPr>
        <w:t xml:space="preserve"> pozícióban szubsztituált makrolidokra rezisztensek, a </w:t>
      </w:r>
      <w:smartTag w:uri="urn:schemas-microsoft-com:office:smarttags" w:element="metricconverter">
        <w:smartTagPr>
          <w:attr w:name="ProductID" w:val="16’"/>
        </w:smartTagPr>
        <w:r>
          <w:rPr>
            <w:sz w:val="22"/>
            <w:szCs w:val="22"/>
          </w:rPr>
          <w:t>16’</w:t>
        </w:r>
      </w:smartTag>
      <w:r>
        <w:rPr>
          <w:sz w:val="22"/>
          <w:szCs w:val="22"/>
        </w:rPr>
        <w:t xml:space="preserve"> pozícióban szubsztituáltakra, a linkozamidokra és a sztreptogramin B-re azonban nem. A rezisztenciát gének (</w:t>
      </w:r>
      <w:r>
        <w:rPr>
          <w:i/>
          <w:sz w:val="22"/>
          <w:szCs w:val="22"/>
        </w:rPr>
        <w:t>mef </w:t>
      </w:r>
      <w:r>
        <w:rPr>
          <w:sz w:val="22"/>
          <w:szCs w:val="22"/>
        </w:rPr>
        <w:t>A</w:t>
      </w:r>
      <w:r>
        <w:rPr>
          <w:i/>
          <w:sz w:val="22"/>
          <w:szCs w:val="22"/>
        </w:rPr>
        <w:t xml:space="preserve"> </w:t>
      </w:r>
      <w:r>
        <w:rPr>
          <w:sz w:val="22"/>
          <w:szCs w:val="22"/>
        </w:rPr>
        <w:t xml:space="preserve">és </w:t>
      </w:r>
      <w:r>
        <w:rPr>
          <w:i/>
          <w:sz w:val="22"/>
          <w:szCs w:val="22"/>
        </w:rPr>
        <w:t xml:space="preserve">mef </w:t>
      </w:r>
      <w:r>
        <w:rPr>
          <w:sz w:val="22"/>
          <w:szCs w:val="22"/>
        </w:rPr>
        <w:t xml:space="preserve">E) hozzák létre; ezeket a géneket a </w:t>
      </w:r>
      <w:r>
        <w:rPr>
          <w:i/>
          <w:sz w:val="22"/>
          <w:szCs w:val="22"/>
        </w:rPr>
        <w:t>S. pyogenes</w:t>
      </w:r>
      <w:r>
        <w:rPr>
          <w:sz w:val="22"/>
          <w:szCs w:val="22"/>
        </w:rPr>
        <w:t xml:space="preserve">, a </w:t>
      </w:r>
      <w:r>
        <w:rPr>
          <w:i/>
          <w:sz w:val="22"/>
          <w:szCs w:val="22"/>
        </w:rPr>
        <w:t>S. agalactiae</w:t>
      </w:r>
      <w:r>
        <w:rPr>
          <w:sz w:val="22"/>
          <w:szCs w:val="22"/>
        </w:rPr>
        <w:t xml:space="preserve"> és a </w:t>
      </w:r>
      <w:r>
        <w:rPr>
          <w:i/>
          <w:sz w:val="22"/>
          <w:szCs w:val="22"/>
        </w:rPr>
        <w:t>S. pneumoniae</w:t>
      </w:r>
      <w:r>
        <w:rPr>
          <w:sz w:val="22"/>
          <w:szCs w:val="22"/>
        </w:rPr>
        <w:t xml:space="preserve"> is gyakran hordozza. Egyes baktériumok rezisztenciájának mechanizmusa többrétű.</w:t>
      </w:r>
    </w:p>
    <w:p w14:paraId="55C081F6" w14:textId="77777777" w:rsidR="002A3AC9" w:rsidRDefault="002A3AC9">
      <w:pPr>
        <w:tabs>
          <w:tab w:val="left" w:pos="927"/>
        </w:tabs>
        <w:rPr>
          <w:sz w:val="22"/>
          <w:szCs w:val="22"/>
        </w:rPr>
      </w:pPr>
    </w:p>
    <w:p w14:paraId="55469A0D" w14:textId="77777777" w:rsidR="002A3AC9" w:rsidRDefault="00EC5E4D">
      <w:pPr>
        <w:tabs>
          <w:tab w:val="left" w:pos="708"/>
        </w:tabs>
        <w:ind w:left="567" w:hanging="567"/>
        <w:rPr>
          <w:b/>
          <w:sz w:val="22"/>
          <w:szCs w:val="22"/>
        </w:rPr>
      </w:pPr>
      <w:r>
        <w:rPr>
          <w:b/>
          <w:sz w:val="22"/>
          <w:szCs w:val="22"/>
        </w:rPr>
        <w:t>5.2</w:t>
      </w:r>
      <w:r>
        <w:rPr>
          <w:b/>
          <w:sz w:val="22"/>
          <w:szCs w:val="22"/>
        </w:rPr>
        <w:tab/>
        <w:t>Farmakokinetikai tulajdonságok</w:t>
      </w:r>
    </w:p>
    <w:p w14:paraId="1090BCD7" w14:textId="77777777" w:rsidR="002A3AC9" w:rsidRDefault="002A3AC9">
      <w:pPr>
        <w:rPr>
          <w:sz w:val="22"/>
          <w:szCs w:val="22"/>
        </w:rPr>
      </w:pPr>
    </w:p>
    <w:p w14:paraId="1BA94EF6" w14:textId="77777777" w:rsidR="002A3AC9" w:rsidRDefault="00EC5E4D">
      <w:pPr>
        <w:pStyle w:val="03"/>
        <w:tabs>
          <w:tab w:val="left" w:pos="567"/>
        </w:tabs>
        <w:spacing w:before="0" w:after="0" w:line="240" w:lineRule="auto"/>
        <w:ind w:firstLine="0"/>
        <w:jc w:val="left"/>
        <w:rPr>
          <w:b w:val="0"/>
          <w:i w:val="0"/>
          <w:sz w:val="22"/>
          <w:szCs w:val="22"/>
          <w:u w:val="single"/>
        </w:rPr>
      </w:pPr>
      <w:r>
        <w:rPr>
          <w:b w:val="0"/>
          <w:i w:val="0"/>
          <w:sz w:val="22"/>
          <w:szCs w:val="22"/>
          <w:u w:val="single"/>
        </w:rPr>
        <w:t>Felszívódás</w:t>
      </w:r>
    </w:p>
    <w:p w14:paraId="4946F873" w14:textId="77777777" w:rsidR="002A3AC9" w:rsidRDefault="00EC5E4D">
      <w:pPr>
        <w:pStyle w:val="WW-Szvegtrzs31"/>
        <w:tabs>
          <w:tab w:val="clear" w:pos="567"/>
          <w:tab w:val="left" w:pos="927"/>
        </w:tabs>
        <w:rPr>
          <w:szCs w:val="22"/>
        </w:rPr>
      </w:pPr>
      <w:r>
        <w:rPr>
          <w:szCs w:val="22"/>
        </w:rPr>
        <w:t>A klaritromicin ellenáll a gyomorsav hatásának. Szájon át adva biohasznosulása kb. 55%-os; a táplálék lassíthatja a klaritromicin felszívódását, biohasznosulását azonban nem befolyásolja számottevően. A felszívódott klaritromicin mennyiség kb. 20%-a rövid idő alatt 14</w:t>
      </w:r>
      <w:r>
        <w:rPr>
          <w:szCs w:val="22"/>
        </w:rPr>
        <w:noBreakHyphen/>
        <w:t>hidroxi</w:t>
      </w:r>
      <w:r>
        <w:rPr>
          <w:szCs w:val="22"/>
        </w:rPr>
        <w:noBreakHyphen/>
        <w:t>klaritromicinné alakul át, e metabolit biológiai aktivitása a natív klaritromicinéhez hasonló. Egészséges önkéntesekben szérumszintje a szájon át adott dózis nagyságának megfelelően változik; a maximális plazmaszint 3 órán belül kialakul. Egyszeri, 250 mg-os dózis perorális adása után 0,62</w:t>
      </w:r>
      <w:r>
        <w:rPr>
          <w:szCs w:val="22"/>
        </w:rPr>
        <w:noBreakHyphen/>
        <w:t>0,84 mikrogramm/ml; 500 mg-os dózis adása után 1,77</w:t>
      </w:r>
      <w:r>
        <w:rPr>
          <w:szCs w:val="22"/>
        </w:rPr>
        <w:noBreakHyphen/>
        <w:t>1,89 mikrogramm/ml az átlagos szérumszint. A 14</w:t>
      </w:r>
      <w:r>
        <w:rPr>
          <w:szCs w:val="22"/>
        </w:rPr>
        <w:noBreakHyphen/>
        <w:t>hidroxi</w:t>
      </w:r>
      <w:r>
        <w:rPr>
          <w:szCs w:val="22"/>
        </w:rPr>
        <w:noBreakHyphen/>
        <w:t>metabolit szérumszintje ugyanezen dózisok adása után 0,4 - 0,7 mikrogramm/ml, illetve 0,67-0,8 mikrogramm/ml.</w:t>
      </w:r>
    </w:p>
    <w:p w14:paraId="42B63FC0" w14:textId="77777777" w:rsidR="002A3AC9" w:rsidRDefault="00EC5E4D">
      <w:pPr>
        <w:tabs>
          <w:tab w:val="left" w:pos="567"/>
        </w:tabs>
        <w:ind w:right="-285"/>
        <w:rPr>
          <w:sz w:val="22"/>
          <w:szCs w:val="22"/>
        </w:rPr>
      </w:pPr>
      <w:r>
        <w:rPr>
          <w:sz w:val="22"/>
          <w:szCs w:val="22"/>
        </w:rPr>
        <w:t>A szérumszint-idő görbe alatti terület (AUC) 250 mg-os dózis adása után 4 mikrogramm/ml×óra, 500 mg adása után 11 mikrogramm/ml×óra.</w:t>
      </w:r>
    </w:p>
    <w:p w14:paraId="64B878C6" w14:textId="77777777" w:rsidR="002A3AC9" w:rsidRDefault="00EC5E4D">
      <w:pPr>
        <w:pStyle w:val="WW-Szvegtrzs31"/>
        <w:rPr>
          <w:szCs w:val="22"/>
        </w:rPr>
      </w:pPr>
      <w:r>
        <w:rPr>
          <w:szCs w:val="22"/>
        </w:rPr>
        <w:t>A klaritromicint ismételten, 2-szer 250 mg/nap dózisban adagolva az ötödik dózis beadása után alakul ki a steady-state koncentráció; a natív klaritromicin maximális plazmaszintje 1 mikrogramm/ml, a 14</w:t>
      </w:r>
      <w:r>
        <w:rPr>
          <w:szCs w:val="22"/>
        </w:rPr>
        <w:noBreakHyphen/>
        <w:t>hidroxi</w:t>
      </w:r>
      <w:r>
        <w:rPr>
          <w:szCs w:val="22"/>
        </w:rPr>
        <w:noBreakHyphen/>
        <w:t>metabolité 0,6 mikrogramm/ml.</w:t>
      </w:r>
    </w:p>
    <w:p w14:paraId="13FE1D79" w14:textId="77777777" w:rsidR="002A3AC9" w:rsidRDefault="00EC5E4D">
      <w:pPr>
        <w:rPr>
          <w:sz w:val="22"/>
          <w:szCs w:val="22"/>
        </w:rPr>
      </w:pPr>
      <w:r w:rsidRPr="00AC474F">
        <w:rPr>
          <w:i/>
          <w:iCs/>
          <w:sz w:val="22"/>
          <w:szCs w:val="22"/>
        </w:rPr>
        <w:t>Per o</w:t>
      </w:r>
      <w:r>
        <w:rPr>
          <w:sz w:val="22"/>
          <w:szCs w:val="22"/>
        </w:rPr>
        <w:t>s (7,5 mg/ttkg dózisban, 12 óránként adagolt) szuszpenzióval kezelt gyermekekben a steady-state viszonyok kialakulása után 3</w:t>
      </w:r>
      <w:r>
        <w:rPr>
          <w:sz w:val="22"/>
          <w:szCs w:val="22"/>
        </w:rPr>
        <w:noBreakHyphen/>
        <w:t>7 mikrogramm/ml a natív vegyület maximális plazmaszintje és 1</w:t>
      </w:r>
      <w:r>
        <w:rPr>
          <w:sz w:val="22"/>
          <w:szCs w:val="22"/>
        </w:rPr>
        <w:noBreakHyphen/>
        <w:t>2 mikrogramm/ml a 14</w:t>
      </w:r>
      <w:r>
        <w:rPr>
          <w:sz w:val="22"/>
          <w:szCs w:val="22"/>
        </w:rPr>
        <w:noBreakHyphen/>
        <w:t>hidroxi-metabolit megfelelő koncentrációja.</w:t>
      </w:r>
    </w:p>
    <w:p w14:paraId="16BD60C2" w14:textId="77777777" w:rsidR="002A3AC9" w:rsidRDefault="002A3AC9">
      <w:pPr>
        <w:rPr>
          <w:sz w:val="22"/>
          <w:szCs w:val="22"/>
        </w:rPr>
      </w:pPr>
    </w:p>
    <w:p w14:paraId="7A35B5FC" w14:textId="77777777" w:rsidR="002A3AC9" w:rsidRDefault="00EC5E4D">
      <w:pPr>
        <w:tabs>
          <w:tab w:val="left" w:pos="567"/>
        </w:tabs>
        <w:rPr>
          <w:kern w:val="1"/>
          <w:sz w:val="22"/>
          <w:szCs w:val="22"/>
          <w:u w:val="single"/>
        </w:rPr>
      </w:pPr>
      <w:r>
        <w:rPr>
          <w:kern w:val="1"/>
          <w:sz w:val="22"/>
          <w:szCs w:val="22"/>
          <w:u w:val="single"/>
        </w:rPr>
        <w:t>Eloszlás</w:t>
      </w:r>
    </w:p>
    <w:p w14:paraId="799377A2" w14:textId="77777777" w:rsidR="002A3AC9" w:rsidRDefault="00EC5E4D">
      <w:pPr>
        <w:tabs>
          <w:tab w:val="left" w:pos="567"/>
        </w:tabs>
        <w:rPr>
          <w:sz w:val="22"/>
          <w:szCs w:val="22"/>
        </w:rPr>
      </w:pPr>
      <w:r>
        <w:rPr>
          <w:sz w:val="22"/>
          <w:szCs w:val="22"/>
        </w:rPr>
        <w:t xml:space="preserve">A makrolid-típusú antibiotikumok ionizációja csekély mértékű, zsíroldékonyak, ezért jól penetrálnak a testnedvekbe és szövetekbe. A klaritromicin szöveti koncentrációja rendszerint kb. tízszer múlja felül a szérumszintet. Magas koncentrációt ér el a tüdőben (8,8 mg/ttkg), a tonsillákban (1,6 mg/ttkg), az orrnyálkahártyában, a nyálban, az alveoláris sejtekben, a köpetben és a középfülben. Eloszlási </w:t>
      </w:r>
      <w:r>
        <w:rPr>
          <w:sz w:val="22"/>
          <w:szCs w:val="22"/>
        </w:rPr>
        <w:lastRenderedPageBreak/>
        <w:t>térfogata egészséges önkéntesekben, egyszeri 250 mg-os és/vagy 500 mg-os dózisok adása után 226</w:t>
      </w:r>
      <w:r>
        <w:rPr>
          <w:sz w:val="22"/>
          <w:szCs w:val="22"/>
        </w:rPr>
        <w:noBreakHyphen/>
        <w:t>266 liter, vagyis 2,5 l/ttkg. A 14</w:t>
      </w:r>
      <w:r>
        <w:rPr>
          <w:sz w:val="22"/>
          <w:szCs w:val="22"/>
        </w:rPr>
        <w:noBreakHyphen/>
        <w:t>hidroxi-klaritromicin eloszlási térfogata 304</w:t>
      </w:r>
      <w:r>
        <w:rPr>
          <w:sz w:val="22"/>
          <w:szCs w:val="22"/>
        </w:rPr>
        <w:noBreakHyphen/>
        <w:t>309 liter.</w:t>
      </w:r>
    </w:p>
    <w:p w14:paraId="2961820E" w14:textId="77777777" w:rsidR="002A3AC9" w:rsidRDefault="00EC5E4D">
      <w:pPr>
        <w:tabs>
          <w:tab w:val="left" w:pos="567"/>
        </w:tabs>
        <w:rPr>
          <w:sz w:val="22"/>
          <w:szCs w:val="22"/>
        </w:rPr>
      </w:pPr>
      <w:r>
        <w:rPr>
          <w:sz w:val="22"/>
          <w:szCs w:val="22"/>
        </w:rPr>
        <w:t>A klaritromicin csupán csekély mértékben és reverzibilisen kötődik plazmafehérjékhez.</w:t>
      </w:r>
    </w:p>
    <w:p w14:paraId="1CC724D6" w14:textId="77777777" w:rsidR="002A3AC9" w:rsidRDefault="002A3AC9">
      <w:pPr>
        <w:tabs>
          <w:tab w:val="left" w:pos="567"/>
        </w:tabs>
        <w:rPr>
          <w:sz w:val="22"/>
          <w:szCs w:val="22"/>
        </w:rPr>
      </w:pPr>
    </w:p>
    <w:p w14:paraId="1EDCDFBD" w14:textId="77777777" w:rsidR="002A3AC9" w:rsidRDefault="00EC5E4D">
      <w:pPr>
        <w:pStyle w:val="03"/>
        <w:tabs>
          <w:tab w:val="left" w:pos="567"/>
        </w:tabs>
        <w:spacing w:before="0" w:after="0" w:line="240" w:lineRule="auto"/>
        <w:ind w:firstLine="0"/>
        <w:jc w:val="left"/>
        <w:rPr>
          <w:b w:val="0"/>
          <w:i w:val="0"/>
          <w:sz w:val="22"/>
          <w:szCs w:val="22"/>
          <w:u w:val="single"/>
        </w:rPr>
      </w:pPr>
      <w:r>
        <w:rPr>
          <w:b w:val="0"/>
          <w:i w:val="0"/>
          <w:sz w:val="22"/>
          <w:szCs w:val="22"/>
          <w:u w:val="single"/>
        </w:rPr>
        <w:t>Biotranszformáció és elimináció</w:t>
      </w:r>
    </w:p>
    <w:p w14:paraId="1A801FC4" w14:textId="77777777" w:rsidR="002A3AC9" w:rsidRDefault="00EC5E4D">
      <w:pPr>
        <w:tabs>
          <w:tab w:val="left" w:pos="567"/>
        </w:tabs>
        <w:rPr>
          <w:sz w:val="22"/>
          <w:szCs w:val="22"/>
        </w:rPr>
      </w:pPr>
      <w:r>
        <w:rPr>
          <w:sz w:val="22"/>
          <w:szCs w:val="22"/>
        </w:rPr>
        <w:t>A klaritromicin a májban metabolizálódik. Legalább 7 metabolitját azonosították; ezek közül a 14</w:t>
      </w:r>
      <w:r>
        <w:rPr>
          <w:sz w:val="22"/>
          <w:szCs w:val="22"/>
        </w:rPr>
        <w:noBreakHyphen/>
        <w:t>hidroxi-klaritromicin a legfontosabb. A klaritromicin a vizelettel és kisebb mértékben (4%) a székletben ürül ki a szervezetből változatlan formában, illetve metabolitként. A 250 mg-os dózis kb. 20%</w:t>
      </w:r>
      <w:r>
        <w:rPr>
          <w:sz w:val="22"/>
          <w:szCs w:val="22"/>
        </w:rPr>
        <w:noBreakHyphen/>
        <w:t>a, az 500 mg-os adag kb. 30%-a változatlan formában; az alkalmazott dózis kb. 10</w:t>
      </w:r>
      <w:r>
        <w:rPr>
          <w:sz w:val="22"/>
          <w:szCs w:val="22"/>
        </w:rPr>
        <w:noBreakHyphen/>
        <w:t>15%-a 14</w:t>
      </w:r>
      <w:r>
        <w:rPr>
          <w:sz w:val="22"/>
          <w:szCs w:val="22"/>
        </w:rPr>
        <w:noBreakHyphen/>
        <w:t>hidroxi-metabolitként ürül a vizeletben.</w:t>
      </w:r>
    </w:p>
    <w:p w14:paraId="404F6E55" w14:textId="77777777" w:rsidR="002A3AC9" w:rsidRDefault="00EC5E4D">
      <w:pPr>
        <w:tabs>
          <w:tab w:val="left" w:pos="567"/>
        </w:tabs>
        <w:rPr>
          <w:sz w:val="22"/>
          <w:szCs w:val="22"/>
        </w:rPr>
      </w:pPr>
      <w:r>
        <w:rPr>
          <w:sz w:val="22"/>
          <w:szCs w:val="22"/>
        </w:rPr>
        <w:t>A klaritromicin felezési ideje 2-szer 250 mg/nap adagolás esetén 3</w:t>
      </w:r>
      <w:r>
        <w:rPr>
          <w:sz w:val="22"/>
          <w:szCs w:val="22"/>
        </w:rPr>
        <w:noBreakHyphen/>
        <w:t>4 óra, 2-szer 500 mg/nap adagolás esetén 5</w:t>
      </w:r>
      <w:r>
        <w:rPr>
          <w:sz w:val="22"/>
          <w:szCs w:val="22"/>
        </w:rPr>
        <w:noBreakHyphen/>
        <w:t>7 óra.</w:t>
      </w:r>
    </w:p>
    <w:p w14:paraId="42487B56" w14:textId="77777777" w:rsidR="002A3AC9" w:rsidRDefault="002A3AC9">
      <w:pPr>
        <w:pStyle w:val="03"/>
        <w:tabs>
          <w:tab w:val="left" w:pos="567"/>
        </w:tabs>
        <w:spacing w:before="0" w:after="0" w:line="240" w:lineRule="auto"/>
        <w:ind w:firstLine="0"/>
        <w:jc w:val="left"/>
        <w:rPr>
          <w:b w:val="0"/>
          <w:sz w:val="22"/>
          <w:szCs w:val="22"/>
        </w:rPr>
      </w:pPr>
    </w:p>
    <w:p w14:paraId="71B05E84" w14:textId="77777777" w:rsidR="002A3AC9" w:rsidRDefault="00EC5E4D">
      <w:pPr>
        <w:pStyle w:val="03"/>
        <w:tabs>
          <w:tab w:val="left" w:pos="567"/>
        </w:tabs>
        <w:spacing w:before="0" w:after="0" w:line="240" w:lineRule="auto"/>
        <w:ind w:firstLine="0"/>
        <w:jc w:val="left"/>
        <w:rPr>
          <w:b w:val="0"/>
          <w:sz w:val="22"/>
          <w:szCs w:val="22"/>
        </w:rPr>
      </w:pPr>
      <w:r>
        <w:rPr>
          <w:b w:val="0"/>
          <w:sz w:val="22"/>
          <w:szCs w:val="22"/>
        </w:rPr>
        <w:t>Az életkor hatása a farmakokinetikai jellemzőkre</w:t>
      </w:r>
    </w:p>
    <w:p w14:paraId="1626EAB6" w14:textId="77777777" w:rsidR="002A3AC9" w:rsidRDefault="00EC5E4D">
      <w:pPr>
        <w:tabs>
          <w:tab w:val="left" w:pos="540"/>
        </w:tabs>
        <w:rPr>
          <w:i/>
          <w:sz w:val="22"/>
          <w:szCs w:val="22"/>
        </w:rPr>
      </w:pPr>
      <w:r>
        <w:rPr>
          <w:i/>
          <w:sz w:val="22"/>
          <w:szCs w:val="22"/>
        </w:rPr>
        <w:t>Csecsemők és gyermekek</w:t>
      </w:r>
    </w:p>
    <w:p w14:paraId="6E070C39" w14:textId="77777777" w:rsidR="002A3AC9" w:rsidRDefault="00EC5E4D">
      <w:pPr>
        <w:tabs>
          <w:tab w:val="left" w:pos="540"/>
        </w:tabs>
        <w:rPr>
          <w:sz w:val="22"/>
          <w:szCs w:val="22"/>
        </w:rPr>
      </w:pPr>
      <w:r>
        <w:rPr>
          <w:sz w:val="22"/>
          <w:szCs w:val="22"/>
        </w:rPr>
        <w:t>A vizsgálati eredmények alapján a 2-szer 7,5 mg/nap dózisban adagolt klaritromicin farmakokinetikai jellemzői a felnőtteken mérhetőkhöz hasonlóak.</w:t>
      </w:r>
    </w:p>
    <w:p w14:paraId="1F6CEB2F" w14:textId="77777777" w:rsidR="002A3AC9" w:rsidRDefault="002A3AC9">
      <w:pPr>
        <w:tabs>
          <w:tab w:val="left" w:pos="540"/>
        </w:tabs>
        <w:rPr>
          <w:i/>
          <w:sz w:val="22"/>
          <w:szCs w:val="22"/>
        </w:rPr>
      </w:pPr>
    </w:p>
    <w:p w14:paraId="308722F2" w14:textId="57321392" w:rsidR="002A3AC9" w:rsidRDefault="00EC5E4D">
      <w:pPr>
        <w:tabs>
          <w:tab w:val="left" w:pos="540"/>
        </w:tabs>
        <w:rPr>
          <w:i/>
          <w:sz w:val="22"/>
          <w:szCs w:val="22"/>
        </w:rPr>
      </w:pPr>
      <w:r>
        <w:rPr>
          <w:i/>
          <w:sz w:val="22"/>
          <w:szCs w:val="22"/>
        </w:rPr>
        <w:t>Idősek</w:t>
      </w:r>
    </w:p>
    <w:p w14:paraId="4B547295" w14:textId="389233FD" w:rsidR="002A3AC9" w:rsidRDefault="00EC5E4D">
      <w:pPr>
        <w:tabs>
          <w:tab w:val="left" w:pos="540"/>
        </w:tabs>
        <w:rPr>
          <w:i/>
          <w:sz w:val="22"/>
          <w:szCs w:val="22"/>
        </w:rPr>
      </w:pPr>
      <w:r>
        <w:rPr>
          <w:sz w:val="22"/>
          <w:szCs w:val="22"/>
        </w:rPr>
        <w:t xml:space="preserve">Idős betegek kezelésekor csak a veseműködés nagyfokú </w:t>
      </w:r>
      <w:r w:rsidR="00955180">
        <w:rPr>
          <w:sz w:val="22"/>
          <w:szCs w:val="22"/>
        </w:rPr>
        <w:t xml:space="preserve">károsodásakor </w:t>
      </w:r>
      <w:r>
        <w:rPr>
          <w:sz w:val="22"/>
          <w:szCs w:val="22"/>
        </w:rPr>
        <w:t xml:space="preserve">szükséges módosítani a Fromilid </w:t>
      </w:r>
      <w:r w:rsidR="00A3329F">
        <w:rPr>
          <w:sz w:val="22"/>
          <w:szCs w:val="22"/>
        </w:rPr>
        <w:t>dózisát</w:t>
      </w:r>
      <w:r>
        <w:rPr>
          <w:sz w:val="22"/>
          <w:szCs w:val="22"/>
        </w:rPr>
        <w:t>.</w:t>
      </w:r>
      <w:r w:rsidR="00A3329F" w:rsidRPr="00A3329F">
        <w:rPr>
          <w:sz w:val="22"/>
          <w:szCs w:val="22"/>
        </w:rPr>
        <w:t xml:space="preserve"> </w:t>
      </w:r>
      <w:r w:rsidR="00A3329F">
        <w:rPr>
          <w:sz w:val="22"/>
          <w:szCs w:val="22"/>
        </w:rPr>
        <w:t>I</w:t>
      </w:r>
      <w:r w:rsidR="00A3329F" w:rsidRPr="001B6E2F">
        <w:rPr>
          <w:sz w:val="22"/>
          <w:szCs w:val="22"/>
        </w:rPr>
        <w:t>dősek kezelésére a tabletta gyógyszerforma javall</w:t>
      </w:r>
      <w:r w:rsidR="00A3329F">
        <w:rPr>
          <w:sz w:val="22"/>
          <w:szCs w:val="22"/>
        </w:rPr>
        <w:t>ot</w:t>
      </w:r>
      <w:r w:rsidR="00A3329F" w:rsidRPr="001B6E2F">
        <w:rPr>
          <w:sz w:val="22"/>
          <w:szCs w:val="22"/>
        </w:rPr>
        <w:t>t.</w:t>
      </w:r>
    </w:p>
    <w:p w14:paraId="01BCA1B6" w14:textId="77777777" w:rsidR="002A3AC9" w:rsidRDefault="002A3AC9">
      <w:pPr>
        <w:tabs>
          <w:tab w:val="left" w:pos="540"/>
        </w:tabs>
        <w:rPr>
          <w:i/>
          <w:sz w:val="22"/>
          <w:szCs w:val="22"/>
        </w:rPr>
      </w:pPr>
    </w:p>
    <w:p w14:paraId="3C9485F4" w14:textId="77777777" w:rsidR="002A3AC9" w:rsidRDefault="00EC5E4D">
      <w:pPr>
        <w:tabs>
          <w:tab w:val="left" w:pos="540"/>
        </w:tabs>
        <w:rPr>
          <w:i/>
          <w:sz w:val="22"/>
          <w:szCs w:val="22"/>
        </w:rPr>
      </w:pPr>
      <w:r>
        <w:rPr>
          <w:i/>
          <w:sz w:val="22"/>
          <w:szCs w:val="22"/>
        </w:rPr>
        <w:t>Kórfolyamatok hatása a klaritromicin farmakokinetikai jellemzőire</w:t>
      </w:r>
    </w:p>
    <w:p w14:paraId="28E3BC62" w14:textId="5BE15503" w:rsidR="002A3AC9" w:rsidRDefault="00EC5E4D">
      <w:pPr>
        <w:tabs>
          <w:tab w:val="left" w:pos="540"/>
        </w:tabs>
        <w:rPr>
          <w:sz w:val="22"/>
          <w:szCs w:val="22"/>
        </w:rPr>
      </w:pPr>
      <w:r>
        <w:rPr>
          <w:sz w:val="22"/>
          <w:szCs w:val="22"/>
        </w:rPr>
        <w:t xml:space="preserve">Nagymértékben </w:t>
      </w:r>
      <w:r w:rsidR="00955180">
        <w:rPr>
          <w:sz w:val="22"/>
          <w:szCs w:val="22"/>
        </w:rPr>
        <w:t xml:space="preserve">károsodott </w:t>
      </w:r>
      <w:r>
        <w:rPr>
          <w:sz w:val="22"/>
          <w:szCs w:val="22"/>
        </w:rPr>
        <w:t>veseműködésű betegeknél 200 mg klaritromicin adása után az egészséges önkénteseknél mért értékekhez képest a maximális plazmaszint emelkedését, az AUC növekedését észlelték. A klaritromicin eliminációja az egészséges felnőttekre jellemző 26,5%-ról 3,3%-ra csökkent. Ezek az adatok azt tükrözik, hogy előrehaladott veseelégtelenségben csökkenteni kell a klaritromicin adagját, vagy növelni kell az adagolás időközét.</w:t>
      </w:r>
    </w:p>
    <w:p w14:paraId="43BEC4CE" w14:textId="77777777" w:rsidR="002A3AC9" w:rsidRDefault="00EC5E4D">
      <w:pPr>
        <w:tabs>
          <w:tab w:val="left" w:pos="567"/>
        </w:tabs>
        <w:rPr>
          <w:sz w:val="22"/>
          <w:szCs w:val="22"/>
        </w:rPr>
      </w:pPr>
      <w:r>
        <w:rPr>
          <w:sz w:val="22"/>
          <w:szCs w:val="22"/>
        </w:rPr>
        <w:t>A klaritromicin steady-state koncentrációja májbetegekben nem különbözik az egészségesekétől; a 14</w:t>
      </w:r>
      <w:r>
        <w:rPr>
          <w:sz w:val="22"/>
          <w:szCs w:val="22"/>
        </w:rPr>
        <w:noBreakHyphen/>
        <w:t>hidroxi-metabolité azonban alacsonyabb.</w:t>
      </w:r>
    </w:p>
    <w:p w14:paraId="0890FE70" w14:textId="77777777" w:rsidR="002A3AC9" w:rsidRDefault="002A3AC9">
      <w:pPr>
        <w:tabs>
          <w:tab w:val="left" w:pos="567"/>
        </w:tabs>
        <w:rPr>
          <w:sz w:val="22"/>
          <w:szCs w:val="22"/>
        </w:rPr>
      </w:pPr>
    </w:p>
    <w:p w14:paraId="3D7DBBDF" w14:textId="77777777" w:rsidR="002A3AC9" w:rsidRDefault="00EC5E4D">
      <w:pPr>
        <w:tabs>
          <w:tab w:val="left" w:pos="567"/>
        </w:tabs>
        <w:rPr>
          <w:b/>
          <w:sz w:val="22"/>
          <w:szCs w:val="22"/>
        </w:rPr>
      </w:pPr>
      <w:r>
        <w:rPr>
          <w:b/>
          <w:sz w:val="22"/>
          <w:szCs w:val="22"/>
        </w:rPr>
        <w:t>5.3</w:t>
      </w:r>
      <w:r>
        <w:rPr>
          <w:b/>
          <w:sz w:val="22"/>
          <w:szCs w:val="22"/>
        </w:rPr>
        <w:tab/>
        <w:t>A preklinikai biztonságossági vizsgálatok eredményei</w:t>
      </w:r>
    </w:p>
    <w:p w14:paraId="1B9D21CC" w14:textId="77777777" w:rsidR="002A3AC9" w:rsidRDefault="002A3AC9">
      <w:pPr>
        <w:tabs>
          <w:tab w:val="left" w:pos="567"/>
        </w:tabs>
        <w:rPr>
          <w:sz w:val="22"/>
          <w:szCs w:val="22"/>
        </w:rPr>
      </w:pPr>
    </w:p>
    <w:p w14:paraId="76264308" w14:textId="77777777" w:rsidR="002A3AC9" w:rsidRDefault="00EC5E4D">
      <w:pPr>
        <w:tabs>
          <w:tab w:val="left" w:pos="708"/>
        </w:tabs>
        <w:rPr>
          <w:sz w:val="22"/>
          <w:szCs w:val="22"/>
        </w:rPr>
      </w:pPr>
      <w:r>
        <w:rPr>
          <w:sz w:val="22"/>
          <w:szCs w:val="22"/>
        </w:rPr>
        <w:t>Az akut toxicitási vizsgálatok során felhasznált állatfajokra a klaritromicin csekély mértékben bizonyult toxikusnak.</w:t>
      </w:r>
    </w:p>
    <w:p w14:paraId="34E68564" w14:textId="77777777" w:rsidR="002A3AC9" w:rsidRDefault="00EC5E4D">
      <w:pPr>
        <w:rPr>
          <w:sz w:val="22"/>
          <w:szCs w:val="22"/>
        </w:rPr>
      </w:pPr>
      <w:r>
        <w:rPr>
          <w:sz w:val="22"/>
          <w:szCs w:val="22"/>
        </w:rPr>
        <w:t>LD</w:t>
      </w:r>
      <w:r>
        <w:rPr>
          <w:sz w:val="22"/>
          <w:szCs w:val="22"/>
          <w:vertAlign w:val="subscript"/>
        </w:rPr>
        <w:t>50</w:t>
      </w:r>
      <w:r>
        <w:rPr>
          <w:sz w:val="22"/>
          <w:szCs w:val="22"/>
        </w:rPr>
        <w:t xml:space="preserve"> értéke </w:t>
      </w:r>
      <w:r>
        <w:rPr>
          <w:i/>
          <w:sz w:val="22"/>
          <w:szCs w:val="22"/>
        </w:rPr>
        <w:t xml:space="preserve">per os </w:t>
      </w:r>
      <w:r>
        <w:rPr>
          <w:sz w:val="22"/>
          <w:szCs w:val="22"/>
        </w:rPr>
        <w:t xml:space="preserve">adagolás esetén 1,5 -&gt; 5,0 g/ttkg; parenterális kezelés esetén 0,7 -&gt; 5,0 g/ttkg. Rendkívül nagy dózisok ismételt adásakor hepato- és nephrotoxicus, továbbá tápcsatorna-károsító hatást észleltek. </w:t>
      </w:r>
    </w:p>
    <w:p w14:paraId="0A980DFF" w14:textId="77777777" w:rsidR="002A3AC9" w:rsidRDefault="002A3AC9">
      <w:pPr>
        <w:rPr>
          <w:sz w:val="22"/>
          <w:szCs w:val="22"/>
        </w:rPr>
      </w:pPr>
    </w:p>
    <w:p w14:paraId="065D99C0" w14:textId="77777777" w:rsidR="002A3AC9" w:rsidRDefault="00EC5E4D">
      <w:pPr>
        <w:ind w:right="-285"/>
        <w:rPr>
          <w:sz w:val="22"/>
          <w:szCs w:val="22"/>
        </w:rPr>
      </w:pPr>
      <w:r>
        <w:rPr>
          <w:sz w:val="22"/>
          <w:szCs w:val="22"/>
        </w:rPr>
        <w:t>Ismételt adagolású dózistoxicitási vizsgálatokban a toxicitás mértéke összefüggést mutatott az alkalmazott dózissal, a kezelés időtartamával és az állatfajjal. A kutya érzékenyebbnek bizonyult, mint a</w:t>
      </w:r>
      <w:r>
        <w:rPr>
          <w:b/>
          <w:bCs/>
          <w:sz w:val="22"/>
          <w:szCs w:val="22"/>
        </w:rPr>
        <w:t xml:space="preserve"> </w:t>
      </w:r>
      <w:r>
        <w:rPr>
          <w:sz w:val="22"/>
          <w:szCs w:val="22"/>
        </w:rPr>
        <w:t>főemlősök és a patkányok.</w:t>
      </w:r>
    </w:p>
    <w:p w14:paraId="4FE0115F" w14:textId="77777777" w:rsidR="002A3AC9" w:rsidRDefault="00EC5E4D">
      <w:pPr>
        <w:ind w:right="-285"/>
        <w:rPr>
          <w:sz w:val="22"/>
          <w:szCs w:val="22"/>
        </w:rPr>
      </w:pPr>
      <w:r>
        <w:rPr>
          <w:sz w:val="22"/>
          <w:szCs w:val="22"/>
        </w:rPr>
        <w:t>A toxikus dózisok elsősorban hányást, gyengeséget, csökkent táplálékfelvételt, testtömeg-csökkenést, nyálfolyást, dehidrációt és hiperaktivitást váltottak ki.</w:t>
      </w:r>
    </w:p>
    <w:p w14:paraId="6207534F" w14:textId="77777777" w:rsidR="002A3AC9" w:rsidRDefault="00EC5E4D">
      <w:pPr>
        <w:ind w:right="-285"/>
        <w:rPr>
          <w:sz w:val="22"/>
          <w:szCs w:val="22"/>
        </w:rPr>
      </w:pPr>
      <w:r>
        <w:rPr>
          <w:sz w:val="22"/>
          <w:szCs w:val="22"/>
        </w:rPr>
        <w:t>A toxikus dózisok célszerve mindegyik állatfajban a máj volt. A hepatotoxicitást a májfunkciós tesztek korai emelkedésével állapították meg. A klaritromicin adásának megszakítása a májfunkciós értékek normalizálódását, illetve a normál értékek felé történő elmozdulását eredményezte. A gyomor, thymus és más lymphoid szövetek, ill. a vese szövetei kevésbé károsodtak. A terápiás dózishoz közeli mennyiség csak kutyákban okozott conjunctivalis vérbőséget és könnyezést. Magas dózis (400 mg/ttkg/nap) néhány kutyánál és majomnál cornea homályt és/vagy ödémát okozott.</w:t>
      </w:r>
    </w:p>
    <w:p w14:paraId="4E13E9D2" w14:textId="77777777" w:rsidR="002A3AC9" w:rsidRDefault="002A3AC9">
      <w:pPr>
        <w:rPr>
          <w:sz w:val="22"/>
          <w:szCs w:val="22"/>
        </w:rPr>
      </w:pPr>
    </w:p>
    <w:p w14:paraId="6CFDFB3F" w14:textId="77777777" w:rsidR="002A3AC9" w:rsidRDefault="00EC5E4D">
      <w:pPr>
        <w:keepNext/>
        <w:ind w:right="-284"/>
        <w:rPr>
          <w:sz w:val="22"/>
          <w:szCs w:val="22"/>
        </w:rPr>
      </w:pPr>
      <w:r>
        <w:rPr>
          <w:i/>
          <w:sz w:val="22"/>
          <w:szCs w:val="22"/>
        </w:rPr>
        <w:t>Fertilitás, reprodukció és teratogenitás</w:t>
      </w:r>
    </w:p>
    <w:p w14:paraId="669C978C" w14:textId="77777777" w:rsidR="002A3AC9" w:rsidRDefault="00EC5E4D">
      <w:pPr>
        <w:keepNext/>
        <w:ind w:right="-284"/>
        <w:rPr>
          <w:sz w:val="22"/>
          <w:szCs w:val="22"/>
        </w:rPr>
      </w:pPr>
      <w:r>
        <w:rPr>
          <w:sz w:val="22"/>
          <w:szCs w:val="22"/>
        </w:rPr>
        <w:t>Patkányokon végzett fertilitási és reprodukciós vizsgálatok mellékhatást nem mutattak.</w:t>
      </w:r>
    </w:p>
    <w:p w14:paraId="206EB2D9" w14:textId="77777777" w:rsidR="002A3AC9" w:rsidRDefault="00EC5E4D">
      <w:pPr>
        <w:ind w:right="-285"/>
        <w:rPr>
          <w:sz w:val="22"/>
          <w:szCs w:val="22"/>
        </w:rPr>
      </w:pPr>
      <w:r>
        <w:rPr>
          <w:sz w:val="22"/>
          <w:szCs w:val="22"/>
        </w:rPr>
        <w:t>Patkányokon (Wistar (</w:t>
      </w:r>
      <w:r>
        <w:rPr>
          <w:i/>
          <w:iCs/>
          <w:sz w:val="22"/>
          <w:szCs w:val="22"/>
        </w:rPr>
        <w:t>per os</w:t>
      </w:r>
      <w:r>
        <w:rPr>
          <w:sz w:val="22"/>
          <w:szCs w:val="22"/>
        </w:rPr>
        <w:t>) és Sprague-Dawley (</w:t>
      </w:r>
      <w:r>
        <w:rPr>
          <w:i/>
          <w:iCs/>
          <w:sz w:val="22"/>
          <w:szCs w:val="22"/>
        </w:rPr>
        <w:t>per os</w:t>
      </w:r>
      <w:r>
        <w:rPr>
          <w:sz w:val="22"/>
          <w:szCs w:val="22"/>
        </w:rPr>
        <w:t xml:space="preserve"> és </w:t>
      </w:r>
      <w:r>
        <w:rPr>
          <w:i/>
          <w:iCs/>
          <w:sz w:val="22"/>
          <w:szCs w:val="22"/>
        </w:rPr>
        <w:t>iv</w:t>
      </w:r>
      <w:r>
        <w:rPr>
          <w:sz w:val="22"/>
          <w:szCs w:val="22"/>
        </w:rPr>
        <w:t xml:space="preserve">.)), New Zealand fehér nyúlon és kutyafejű majmon klaritromicinnel végzett teratogenitási vizsgálatok teratogén hatást nem jeleztek. Ezzel szemben egy hasonló, Sprague Dawley patkányon végzett vizsgálat során alacsony előfordulási arányban (6%) </w:t>
      </w:r>
      <w:r>
        <w:rPr>
          <w:sz w:val="22"/>
          <w:szCs w:val="22"/>
        </w:rPr>
        <w:lastRenderedPageBreak/>
        <w:t>cardiovascularis abnormalitásokat észleltek, amelyek a genetikai változások spontán expressziója következtében jelenhettek meg.</w:t>
      </w:r>
    </w:p>
    <w:p w14:paraId="51CFF244" w14:textId="77777777" w:rsidR="002A3AC9" w:rsidRDefault="00EC5E4D">
      <w:pPr>
        <w:ind w:right="-285"/>
        <w:rPr>
          <w:sz w:val="22"/>
          <w:szCs w:val="22"/>
        </w:rPr>
      </w:pPr>
      <w:r>
        <w:rPr>
          <w:sz w:val="22"/>
          <w:szCs w:val="22"/>
        </w:rPr>
        <w:t>Két, egereken végzett vizsgálat változó előfordulási arányban (3-30%) farkastorok kialakulását, és majmoknál az embrió elvesztését okozta, de csak az anyára toxikus adagokban alkalmazva.</w:t>
      </w:r>
    </w:p>
    <w:p w14:paraId="318E06D3" w14:textId="77777777" w:rsidR="002A3AC9" w:rsidRPr="00AC474F" w:rsidRDefault="002A3AC9">
      <w:pPr>
        <w:tabs>
          <w:tab w:val="left" w:pos="708"/>
        </w:tabs>
        <w:rPr>
          <w:bCs/>
          <w:sz w:val="22"/>
          <w:szCs w:val="22"/>
        </w:rPr>
      </w:pPr>
    </w:p>
    <w:p w14:paraId="30A8AA9D" w14:textId="77777777" w:rsidR="002A3AC9" w:rsidRPr="00AC474F" w:rsidRDefault="002A3AC9">
      <w:pPr>
        <w:tabs>
          <w:tab w:val="left" w:pos="708"/>
        </w:tabs>
        <w:rPr>
          <w:bCs/>
          <w:sz w:val="22"/>
          <w:szCs w:val="22"/>
        </w:rPr>
      </w:pPr>
    </w:p>
    <w:p w14:paraId="51A61A55" w14:textId="77777777" w:rsidR="002A3AC9" w:rsidRDefault="00EC5E4D">
      <w:pPr>
        <w:tabs>
          <w:tab w:val="left" w:pos="567"/>
        </w:tabs>
        <w:rPr>
          <w:b/>
          <w:sz w:val="22"/>
          <w:szCs w:val="22"/>
        </w:rPr>
      </w:pPr>
      <w:r>
        <w:rPr>
          <w:b/>
          <w:sz w:val="22"/>
          <w:szCs w:val="22"/>
        </w:rPr>
        <w:t>6.</w:t>
      </w:r>
      <w:r>
        <w:rPr>
          <w:b/>
          <w:sz w:val="22"/>
          <w:szCs w:val="22"/>
        </w:rPr>
        <w:tab/>
        <w:t>GYÓGYSZERÉSZETI JELLEMZŐK</w:t>
      </w:r>
    </w:p>
    <w:p w14:paraId="6C4D0BCA" w14:textId="77777777" w:rsidR="002A3AC9" w:rsidRPr="00AC474F" w:rsidRDefault="002A3AC9">
      <w:pPr>
        <w:tabs>
          <w:tab w:val="left" w:pos="567"/>
        </w:tabs>
        <w:rPr>
          <w:bCs/>
          <w:sz w:val="22"/>
          <w:szCs w:val="22"/>
        </w:rPr>
      </w:pPr>
    </w:p>
    <w:p w14:paraId="62CA2736" w14:textId="77777777" w:rsidR="002A3AC9" w:rsidRDefault="00EC5E4D">
      <w:pPr>
        <w:tabs>
          <w:tab w:val="left" w:pos="567"/>
        </w:tabs>
        <w:rPr>
          <w:b/>
          <w:sz w:val="22"/>
          <w:szCs w:val="22"/>
        </w:rPr>
      </w:pPr>
      <w:r>
        <w:rPr>
          <w:b/>
          <w:sz w:val="22"/>
          <w:szCs w:val="22"/>
        </w:rPr>
        <w:t>6.1</w:t>
      </w:r>
      <w:r>
        <w:rPr>
          <w:b/>
          <w:sz w:val="22"/>
          <w:szCs w:val="22"/>
        </w:rPr>
        <w:tab/>
        <w:t>Segédanyagok felsorolása</w:t>
      </w:r>
    </w:p>
    <w:p w14:paraId="004F32F0" w14:textId="77777777" w:rsidR="002A3AC9" w:rsidRPr="00AC474F" w:rsidRDefault="002A3AC9">
      <w:pPr>
        <w:tabs>
          <w:tab w:val="left" w:pos="567"/>
        </w:tabs>
        <w:rPr>
          <w:bCs/>
          <w:sz w:val="22"/>
          <w:szCs w:val="22"/>
        </w:rPr>
      </w:pPr>
    </w:p>
    <w:p w14:paraId="626A5AA2" w14:textId="77777777" w:rsidR="002A3AC9" w:rsidRDefault="00EC5E4D">
      <w:pPr>
        <w:rPr>
          <w:sz w:val="22"/>
          <w:szCs w:val="22"/>
        </w:rPr>
      </w:pPr>
      <w:r>
        <w:rPr>
          <w:sz w:val="22"/>
          <w:szCs w:val="22"/>
        </w:rPr>
        <w:t>titán-dioxid (E171)</w:t>
      </w:r>
    </w:p>
    <w:p w14:paraId="2523F04A" w14:textId="77777777" w:rsidR="002A3AC9" w:rsidRDefault="00EC5E4D">
      <w:pPr>
        <w:rPr>
          <w:sz w:val="22"/>
          <w:szCs w:val="22"/>
        </w:rPr>
      </w:pPr>
      <w:r>
        <w:rPr>
          <w:sz w:val="22"/>
          <w:szCs w:val="22"/>
        </w:rPr>
        <w:t>citromsav</w:t>
      </w:r>
    </w:p>
    <w:p w14:paraId="6EC60EE3" w14:textId="77777777" w:rsidR="002A3AC9" w:rsidRDefault="00EC5E4D">
      <w:pPr>
        <w:rPr>
          <w:sz w:val="22"/>
          <w:szCs w:val="22"/>
        </w:rPr>
      </w:pPr>
      <w:r>
        <w:rPr>
          <w:sz w:val="22"/>
          <w:szCs w:val="22"/>
        </w:rPr>
        <w:t>vízmentes kolloid szilícium-dioxid</w:t>
      </w:r>
    </w:p>
    <w:p w14:paraId="3F3609A9" w14:textId="77777777" w:rsidR="002A3AC9" w:rsidRDefault="00EC5E4D">
      <w:pPr>
        <w:rPr>
          <w:sz w:val="22"/>
          <w:szCs w:val="22"/>
        </w:rPr>
      </w:pPr>
      <w:r>
        <w:rPr>
          <w:sz w:val="22"/>
          <w:szCs w:val="22"/>
        </w:rPr>
        <w:t>kálium-szorbát</w:t>
      </w:r>
    </w:p>
    <w:p w14:paraId="171D6127" w14:textId="77777777" w:rsidR="002A3AC9" w:rsidRDefault="00EC5E4D">
      <w:pPr>
        <w:rPr>
          <w:sz w:val="22"/>
          <w:szCs w:val="22"/>
        </w:rPr>
      </w:pPr>
      <w:r>
        <w:rPr>
          <w:sz w:val="22"/>
          <w:szCs w:val="22"/>
        </w:rPr>
        <w:t>ricinusolaj</w:t>
      </w:r>
    </w:p>
    <w:p w14:paraId="5D24D6F4" w14:textId="77777777" w:rsidR="002A3AC9" w:rsidRDefault="00EC5E4D">
      <w:pPr>
        <w:rPr>
          <w:sz w:val="22"/>
          <w:szCs w:val="22"/>
        </w:rPr>
      </w:pPr>
      <w:r>
        <w:rPr>
          <w:sz w:val="22"/>
          <w:szCs w:val="22"/>
        </w:rPr>
        <w:t>povidon</w:t>
      </w:r>
    </w:p>
    <w:p w14:paraId="69573AE9" w14:textId="77777777" w:rsidR="002A3AC9" w:rsidRDefault="00EC5E4D">
      <w:pPr>
        <w:rPr>
          <w:sz w:val="22"/>
          <w:szCs w:val="22"/>
        </w:rPr>
      </w:pPr>
      <w:r>
        <w:rPr>
          <w:sz w:val="22"/>
          <w:szCs w:val="22"/>
        </w:rPr>
        <w:t>banán aroma</w:t>
      </w:r>
    </w:p>
    <w:p w14:paraId="527BE88A" w14:textId="77777777" w:rsidR="002A3AC9" w:rsidRDefault="00EC5E4D">
      <w:pPr>
        <w:rPr>
          <w:sz w:val="22"/>
          <w:szCs w:val="22"/>
        </w:rPr>
      </w:pPr>
      <w:r>
        <w:rPr>
          <w:sz w:val="22"/>
          <w:szCs w:val="22"/>
        </w:rPr>
        <w:t>xantán gumi</w:t>
      </w:r>
    </w:p>
    <w:p w14:paraId="7694E58C" w14:textId="77777777" w:rsidR="002A3AC9" w:rsidRDefault="00EC5E4D">
      <w:pPr>
        <w:rPr>
          <w:sz w:val="22"/>
          <w:szCs w:val="22"/>
        </w:rPr>
      </w:pPr>
      <w:r>
        <w:rPr>
          <w:sz w:val="22"/>
          <w:szCs w:val="22"/>
        </w:rPr>
        <w:t>talkum</w:t>
      </w:r>
    </w:p>
    <w:p w14:paraId="49372FE2" w14:textId="77777777" w:rsidR="002A3AC9" w:rsidRDefault="00EC5E4D">
      <w:pPr>
        <w:rPr>
          <w:sz w:val="22"/>
          <w:szCs w:val="22"/>
        </w:rPr>
      </w:pPr>
      <w:r>
        <w:rPr>
          <w:sz w:val="22"/>
          <w:szCs w:val="22"/>
        </w:rPr>
        <w:t>karbomer</w:t>
      </w:r>
    </w:p>
    <w:p w14:paraId="6534CD09" w14:textId="77777777" w:rsidR="002A3AC9" w:rsidRDefault="00EC5E4D">
      <w:pPr>
        <w:rPr>
          <w:sz w:val="22"/>
          <w:szCs w:val="22"/>
        </w:rPr>
      </w:pPr>
      <w:r>
        <w:rPr>
          <w:sz w:val="22"/>
          <w:szCs w:val="22"/>
        </w:rPr>
        <w:t>hipromellóz-ftalát</w:t>
      </w:r>
    </w:p>
    <w:p w14:paraId="35AACD9A" w14:textId="77777777" w:rsidR="002A3AC9" w:rsidRDefault="00EC5E4D">
      <w:pPr>
        <w:rPr>
          <w:sz w:val="22"/>
          <w:szCs w:val="22"/>
        </w:rPr>
      </w:pPr>
      <w:r>
        <w:rPr>
          <w:sz w:val="22"/>
          <w:szCs w:val="22"/>
        </w:rPr>
        <w:t>szacharóz</w:t>
      </w:r>
    </w:p>
    <w:p w14:paraId="749E6608" w14:textId="77777777" w:rsidR="002A3AC9" w:rsidRDefault="002A3AC9">
      <w:pPr>
        <w:tabs>
          <w:tab w:val="left" w:pos="567"/>
        </w:tabs>
        <w:ind w:right="-142"/>
        <w:rPr>
          <w:sz w:val="22"/>
          <w:szCs w:val="22"/>
        </w:rPr>
      </w:pPr>
    </w:p>
    <w:p w14:paraId="7BBD3FFB" w14:textId="77777777" w:rsidR="002A3AC9" w:rsidRDefault="00EC5E4D">
      <w:pPr>
        <w:tabs>
          <w:tab w:val="left" w:pos="567"/>
        </w:tabs>
        <w:rPr>
          <w:b/>
          <w:sz w:val="22"/>
          <w:szCs w:val="22"/>
        </w:rPr>
      </w:pPr>
      <w:r>
        <w:rPr>
          <w:b/>
          <w:sz w:val="22"/>
          <w:szCs w:val="22"/>
        </w:rPr>
        <w:t>6.2</w:t>
      </w:r>
      <w:r>
        <w:rPr>
          <w:b/>
          <w:sz w:val="22"/>
          <w:szCs w:val="22"/>
        </w:rPr>
        <w:tab/>
        <w:t>Inkompatibilitások</w:t>
      </w:r>
    </w:p>
    <w:p w14:paraId="264C82C9" w14:textId="77777777" w:rsidR="002A3AC9" w:rsidRDefault="002A3AC9">
      <w:pPr>
        <w:tabs>
          <w:tab w:val="left" w:pos="567"/>
        </w:tabs>
        <w:rPr>
          <w:sz w:val="22"/>
          <w:szCs w:val="22"/>
        </w:rPr>
      </w:pPr>
    </w:p>
    <w:p w14:paraId="60422392" w14:textId="77777777" w:rsidR="002A3AC9" w:rsidRDefault="00EC5E4D">
      <w:pPr>
        <w:tabs>
          <w:tab w:val="left" w:pos="567"/>
        </w:tabs>
        <w:rPr>
          <w:sz w:val="22"/>
          <w:szCs w:val="22"/>
        </w:rPr>
      </w:pPr>
      <w:r>
        <w:rPr>
          <w:sz w:val="22"/>
          <w:szCs w:val="22"/>
        </w:rPr>
        <w:t>Nem értelmezhető.</w:t>
      </w:r>
    </w:p>
    <w:p w14:paraId="645B8DF9" w14:textId="77777777" w:rsidR="002A3AC9" w:rsidRDefault="002A3AC9">
      <w:pPr>
        <w:tabs>
          <w:tab w:val="left" w:pos="567"/>
        </w:tabs>
        <w:rPr>
          <w:sz w:val="22"/>
          <w:szCs w:val="22"/>
        </w:rPr>
      </w:pPr>
    </w:p>
    <w:p w14:paraId="276285EA" w14:textId="77777777" w:rsidR="002A3AC9" w:rsidRDefault="00EC5E4D">
      <w:pPr>
        <w:tabs>
          <w:tab w:val="left" w:pos="708"/>
        </w:tabs>
        <w:ind w:left="567" w:hanging="567"/>
        <w:rPr>
          <w:b/>
          <w:sz w:val="22"/>
          <w:szCs w:val="22"/>
        </w:rPr>
      </w:pPr>
      <w:r>
        <w:rPr>
          <w:b/>
          <w:sz w:val="22"/>
          <w:szCs w:val="22"/>
        </w:rPr>
        <w:t>6.3</w:t>
      </w:r>
      <w:r>
        <w:rPr>
          <w:b/>
          <w:sz w:val="22"/>
          <w:szCs w:val="22"/>
        </w:rPr>
        <w:tab/>
        <w:t>Felhasználhatósági időtartam</w:t>
      </w:r>
    </w:p>
    <w:p w14:paraId="09B83089" w14:textId="77777777" w:rsidR="002A3AC9" w:rsidRDefault="002A3AC9">
      <w:pPr>
        <w:tabs>
          <w:tab w:val="left" w:pos="567"/>
        </w:tabs>
        <w:rPr>
          <w:sz w:val="22"/>
          <w:szCs w:val="22"/>
        </w:rPr>
      </w:pPr>
    </w:p>
    <w:p w14:paraId="40897985" w14:textId="77777777" w:rsidR="002A3AC9" w:rsidRDefault="00EC5E4D">
      <w:pPr>
        <w:tabs>
          <w:tab w:val="left" w:pos="708"/>
        </w:tabs>
        <w:ind w:left="567" w:hanging="567"/>
        <w:rPr>
          <w:bCs/>
          <w:sz w:val="22"/>
          <w:szCs w:val="22"/>
        </w:rPr>
      </w:pPr>
      <w:r>
        <w:rPr>
          <w:bCs/>
          <w:sz w:val="22"/>
          <w:szCs w:val="22"/>
        </w:rPr>
        <w:t>2 év</w:t>
      </w:r>
    </w:p>
    <w:p w14:paraId="7507BC8E" w14:textId="77777777" w:rsidR="002A3AC9" w:rsidRDefault="002A3AC9">
      <w:pPr>
        <w:tabs>
          <w:tab w:val="left" w:pos="708"/>
        </w:tabs>
        <w:ind w:left="567" w:hanging="567"/>
        <w:rPr>
          <w:bCs/>
          <w:sz w:val="22"/>
          <w:szCs w:val="22"/>
        </w:rPr>
      </w:pPr>
    </w:p>
    <w:p w14:paraId="44D97A3D" w14:textId="77777777" w:rsidR="002A3AC9" w:rsidRDefault="00EC5E4D">
      <w:pPr>
        <w:tabs>
          <w:tab w:val="left" w:pos="708"/>
        </w:tabs>
        <w:ind w:left="567" w:hanging="567"/>
        <w:rPr>
          <w:b/>
          <w:sz w:val="22"/>
          <w:szCs w:val="22"/>
        </w:rPr>
      </w:pPr>
      <w:r>
        <w:rPr>
          <w:b/>
          <w:sz w:val="22"/>
          <w:szCs w:val="22"/>
        </w:rPr>
        <w:t>6.4</w:t>
      </w:r>
      <w:r>
        <w:rPr>
          <w:b/>
          <w:sz w:val="22"/>
          <w:szCs w:val="22"/>
        </w:rPr>
        <w:tab/>
        <w:t>Különleges tárolási előírások</w:t>
      </w:r>
    </w:p>
    <w:p w14:paraId="66334A4D" w14:textId="77777777" w:rsidR="002A3AC9" w:rsidRDefault="002A3AC9">
      <w:pPr>
        <w:tabs>
          <w:tab w:val="left" w:pos="567"/>
        </w:tabs>
        <w:rPr>
          <w:sz w:val="22"/>
          <w:szCs w:val="22"/>
        </w:rPr>
      </w:pPr>
    </w:p>
    <w:p w14:paraId="143BDBCB" w14:textId="6AD1CD23" w:rsidR="002A3AC9" w:rsidRDefault="00EC5E4D">
      <w:pPr>
        <w:tabs>
          <w:tab w:val="left" w:pos="567"/>
        </w:tabs>
        <w:rPr>
          <w:sz w:val="22"/>
          <w:szCs w:val="22"/>
        </w:rPr>
      </w:pPr>
      <w:r>
        <w:rPr>
          <w:sz w:val="22"/>
          <w:szCs w:val="22"/>
        </w:rPr>
        <w:t>Legfeljebb 30</w:t>
      </w:r>
      <w:r w:rsidR="00EA0269">
        <w:rPr>
          <w:sz w:val="22"/>
          <w:szCs w:val="22"/>
        </w:rPr>
        <w:t> </w:t>
      </w:r>
      <w:r>
        <w:rPr>
          <w:sz w:val="22"/>
          <w:szCs w:val="22"/>
        </w:rPr>
        <w:t>°C-on, az eredeti csomagolásban tárolandó.</w:t>
      </w:r>
    </w:p>
    <w:p w14:paraId="576BB08B" w14:textId="77777777" w:rsidR="002A3AC9" w:rsidRDefault="00EC5E4D">
      <w:pPr>
        <w:pStyle w:val="02"/>
        <w:tabs>
          <w:tab w:val="left" w:pos="567"/>
        </w:tabs>
        <w:spacing w:before="0" w:after="0" w:line="240" w:lineRule="auto"/>
        <w:ind w:firstLine="0"/>
        <w:rPr>
          <w:b w:val="0"/>
          <w:sz w:val="22"/>
          <w:szCs w:val="22"/>
        </w:rPr>
      </w:pPr>
      <w:r>
        <w:rPr>
          <w:b w:val="0"/>
          <w:sz w:val="22"/>
          <w:szCs w:val="22"/>
        </w:rPr>
        <w:t xml:space="preserve">Elkészített szuszpenzió: 14 napig szobahőmérsékleten (max. </w:t>
      </w:r>
      <w:smartTag w:uri="urn:schemas-microsoft-com:office:smarttags" w:element="metricconverter">
        <w:smartTagPr>
          <w:attr w:name="ProductID" w:val="25 ﾰC"/>
        </w:smartTagPr>
        <w:r>
          <w:rPr>
            <w:b w:val="0"/>
            <w:sz w:val="22"/>
            <w:szCs w:val="22"/>
          </w:rPr>
          <w:t>25 °C</w:t>
        </w:r>
      </w:smartTag>
      <w:r>
        <w:rPr>
          <w:b w:val="0"/>
          <w:sz w:val="22"/>
          <w:szCs w:val="22"/>
        </w:rPr>
        <w:t>) és fénytől védve tárolandó.</w:t>
      </w:r>
    </w:p>
    <w:p w14:paraId="5960AE5E" w14:textId="77777777" w:rsidR="002A3AC9" w:rsidRDefault="002A3AC9">
      <w:pPr>
        <w:pStyle w:val="02"/>
        <w:tabs>
          <w:tab w:val="left" w:pos="567"/>
        </w:tabs>
        <w:spacing w:before="0" w:after="0" w:line="240" w:lineRule="auto"/>
        <w:ind w:firstLine="0"/>
        <w:rPr>
          <w:b w:val="0"/>
          <w:sz w:val="22"/>
          <w:szCs w:val="22"/>
        </w:rPr>
      </w:pPr>
    </w:p>
    <w:p w14:paraId="6D0E3F3C" w14:textId="77777777" w:rsidR="002A3AC9" w:rsidRDefault="00EC5E4D">
      <w:pPr>
        <w:tabs>
          <w:tab w:val="left" w:pos="708"/>
        </w:tabs>
        <w:ind w:left="567" w:hanging="567"/>
        <w:rPr>
          <w:b/>
          <w:sz w:val="22"/>
          <w:szCs w:val="22"/>
        </w:rPr>
      </w:pPr>
      <w:r>
        <w:rPr>
          <w:b/>
          <w:sz w:val="22"/>
          <w:szCs w:val="22"/>
        </w:rPr>
        <w:t>6.5</w:t>
      </w:r>
      <w:r>
        <w:rPr>
          <w:b/>
          <w:sz w:val="22"/>
          <w:szCs w:val="22"/>
        </w:rPr>
        <w:tab/>
        <w:t>Csomagolás típusa és kiszerelése</w:t>
      </w:r>
    </w:p>
    <w:p w14:paraId="569CE100" w14:textId="77777777" w:rsidR="002A3AC9" w:rsidRPr="00AC474F" w:rsidRDefault="002A3AC9">
      <w:pPr>
        <w:pStyle w:val="02"/>
        <w:tabs>
          <w:tab w:val="left" w:pos="567"/>
        </w:tabs>
        <w:spacing w:before="0" w:after="0" w:line="240" w:lineRule="auto"/>
        <w:ind w:firstLine="0"/>
        <w:rPr>
          <w:b w:val="0"/>
          <w:bCs/>
          <w:sz w:val="22"/>
          <w:szCs w:val="22"/>
        </w:rPr>
      </w:pPr>
    </w:p>
    <w:p w14:paraId="73FDB15B" w14:textId="77777777" w:rsidR="002A3AC9" w:rsidRDefault="00EC5E4D">
      <w:pPr>
        <w:tabs>
          <w:tab w:val="left" w:pos="567"/>
        </w:tabs>
        <w:rPr>
          <w:sz w:val="22"/>
          <w:szCs w:val="22"/>
        </w:rPr>
      </w:pPr>
      <w:smartTag w:uri="urn:schemas-microsoft-com:office:smarttags" w:element="metricconverter">
        <w:smartTagPr>
          <w:attr w:name="ProductID" w:val="25ﾠg"/>
        </w:smartTagPr>
        <w:r>
          <w:rPr>
            <w:sz w:val="22"/>
            <w:szCs w:val="22"/>
          </w:rPr>
          <w:t>25 g</w:t>
        </w:r>
      </w:smartTag>
      <w:r>
        <w:rPr>
          <w:sz w:val="22"/>
          <w:szCs w:val="22"/>
        </w:rPr>
        <w:t xml:space="preserve"> granulátum HDPE, biztonsági, csavaros kupakkal lezárt, és egy kifolyást elősegítő betéttel (LDPE és HDPE keverék) ellátott barna üvegben. 1 üveg + 1 LDPE adagoló fecskendő dobozban.</w:t>
      </w:r>
    </w:p>
    <w:p w14:paraId="6689D728" w14:textId="77777777" w:rsidR="002A3AC9" w:rsidRDefault="002A3AC9">
      <w:pPr>
        <w:pStyle w:val="02"/>
        <w:tabs>
          <w:tab w:val="left" w:pos="567"/>
        </w:tabs>
        <w:spacing w:before="0" w:after="0" w:line="240" w:lineRule="auto"/>
        <w:ind w:firstLine="0"/>
        <w:rPr>
          <w:b w:val="0"/>
          <w:sz w:val="22"/>
          <w:szCs w:val="22"/>
        </w:rPr>
      </w:pPr>
    </w:p>
    <w:p w14:paraId="51101756" w14:textId="77777777" w:rsidR="002A3AC9" w:rsidRDefault="00EC5E4D">
      <w:pPr>
        <w:pStyle w:val="WW-Szvegtrzs31"/>
        <w:keepNext/>
        <w:tabs>
          <w:tab w:val="clear" w:pos="567"/>
        </w:tabs>
        <w:ind w:left="562" w:hanging="562"/>
        <w:rPr>
          <w:b/>
          <w:noProof/>
          <w:szCs w:val="22"/>
        </w:rPr>
      </w:pPr>
      <w:r>
        <w:rPr>
          <w:b/>
          <w:szCs w:val="22"/>
        </w:rPr>
        <w:t>6.6</w:t>
      </w:r>
      <w:r>
        <w:rPr>
          <w:b/>
          <w:szCs w:val="22"/>
        </w:rPr>
        <w:tab/>
      </w:r>
      <w:r>
        <w:rPr>
          <w:b/>
          <w:noProof/>
          <w:szCs w:val="22"/>
        </w:rPr>
        <w:t>A megsemmisítésre vonatkozó különleges óvintézkedések</w:t>
      </w:r>
      <w:r>
        <w:rPr>
          <w:b/>
          <w:szCs w:val="22"/>
        </w:rPr>
        <w:t xml:space="preserve"> </w:t>
      </w:r>
      <w:r>
        <w:rPr>
          <w:b/>
          <w:noProof/>
          <w:szCs w:val="22"/>
        </w:rPr>
        <w:t>és egyéb, a készítmény kezelésével kapcsolatos információk</w:t>
      </w:r>
    </w:p>
    <w:p w14:paraId="715C171B" w14:textId="77777777" w:rsidR="002A3AC9" w:rsidRPr="00AC474F" w:rsidRDefault="002A3AC9">
      <w:pPr>
        <w:pStyle w:val="WW-Szvegtrzs31"/>
        <w:keepNext/>
        <w:tabs>
          <w:tab w:val="clear" w:pos="567"/>
        </w:tabs>
        <w:rPr>
          <w:bCs/>
          <w:noProof/>
          <w:szCs w:val="22"/>
        </w:rPr>
      </w:pPr>
    </w:p>
    <w:p w14:paraId="74EF50FB" w14:textId="23A576CA" w:rsidR="002A3AC9" w:rsidRDefault="00EC5E4D">
      <w:pPr>
        <w:pStyle w:val="WW-Szvegtrzs31"/>
        <w:keepNext/>
        <w:tabs>
          <w:tab w:val="clear" w:pos="567"/>
        </w:tabs>
        <w:rPr>
          <w:szCs w:val="22"/>
        </w:rPr>
      </w:pPr>
      <w:r>
        <w:rPr>
          <w:bCs/>
          <w:iCs/>
          <w:color w:val="000000"/>
          <w:szCs w:val="22"/>
          <w:u w:val="single"/>
        </w:rPr>
        <w:t>A szuszpenzió elkészítése</w:t>
      </w:r>
    </w:p>
    <w:p w14:paraId="1C0295DC" w14:textId="77777777" w:rsidR="002A3AC9" w:rsidRDefault="00EC5E4D">
      <w:pPr>
        <w:pStyle w:val="WW-Szvegtrzs31"/>
        <w:keepNext/>
        <w:tabs>
          <w:tab w:val="clear" w:pos="567"/>
        </w:tabs>
        <w:rPr>
          <w:szCs w:val="22"/>
        </w:rPr>
      </w:pPr>
      <w:r>
        <w:rPr>
          <w:szCs w:val="22"/>
        </w:rPr>
        <w:t>A szuszpenzió elkészítésekor 42 ml vizet kell adni a granulátumhoz.</w:t>
      </w:r>
    </w:p>
    <w:p w14:paraId="2A3BE952" w14:textId="1DCADBCE" w:rsidR="002A3AC9" w:rsidRDefault="00EC5E4D">
      <w:pPr>
        <w:tabs>
          <w:tab w:val="left" w:pos="567"/>
        </w:tabs>
        <w:rPr>
          <w:sz w:val="22"/>
          <w:szCs w:val="22"/>
        </w:rPr>
      </w:pPr>
      <w:r>
        <w:rPr>
          <w:sz w:val="22"/>
          <w:szCs w:val="22"/>
        </w:rPr>
        <w:t xml:space="preserve">Feloldás előtt rázással kell fellazítani a granulátumot. Előbb a szükséges vízmennyiség egynegyedét kell az üvegbe tölteni, majd alapos rázással </w:t>
      </w:r>
      <w:r w:rsidR="00DD4CCC">
        <w:rPr>
          <w:sz w:val="22"/>
          <w:szCs w:val="22"/>
        </w:rPr>
        <w:t xml:space="preserve">szuszpendálni </w:t>
      </w:r>
      <w:r>
        <w:rPr>
          <w:sz w:val="22"/>
          <w:szCs w:val="22"/>
        </w:rPr>
        <w:t>benne a granulátumot. Ezután kell hozzáadni a víz fennmaradó mennyiségét, és ismét alaposan fel kell rázni az üveget.</w:t>
      </w:r>
    </w:p>
    <w:p w14:paraId="5772C4CE" w14:textId="77777777" w:rsidR="002A3AC9" w:rsidRDefault="00EC5E4D">
      <w:pPr>
        <w:tabs>
          <w:tab w:val="left" w:pos="567"/>
        </w:tabs>
        <w:rPr>
          <w:sz w:val="22"/>
          <w:szCs w:val="22"/>
        </w:rPr>
      </w:pPr>
      <w:r>
        <w:rPr>
          <w:sz w:val="22"/>
          <w:szCs w:val="22"/>
        </w:rPr>
        <w:t>A kész szuszpenzió térfogata akkor megfelelő, ha folyadékszint megegyezik az üveg oldalán elhelyezett jelzéssel.</w:t>
      </w:r>
    </w:p>
    <w:p w14:paraId="68F500C1" w14:textId="77777777" w:rsidR="002A3AC9" w:rsidRPr="00AC474F" w:rsidRDefault="002A3AC9">
      <w:pPr>
        <w:tabs>
          <w:tab w:val="left" w:pos="567"/>
        </w:tabs>
        <w:rPr>
          <w:bCs/>
          <w:sz w:val="22"/>
          <w:szCs w:val="22"/>
        </w:rPr>
      </w:pPr>
    </w:p>
    <w:p w14:paraId="1A2AD7DD" w14:textId="77777777" w:rsidR="002A3AC9" w:rsidRDefault="00EC5E4D">
      <w:pPr>
        <w:rPr>
          <w:noProof/>
          <w:sz w:val="22"/>
          <w:szCs w:val="22"/>
          <w:lang w:eastAsia="en-US"/>
        </w:rPr>
      </w:pPr>
      <w:r>
        <w:rPr>
          <w:noProof/>
          <w:sz w:val="22"/>
          <w:szCs w:val="22"/>
          <w:lang w:eastAsia="en-US"/>
        </w:rPr>
        <w:t>Bármilyen fel nem használt gyógyszer, illetve hulladékanyag megsemmisítését a gyógyszerekre vonatkozó előírások szerint kell végrehajtani.</w:t>
      </w:r>
    </w:p>
    <w:p w14:paraId="78A7F467" w14:textId="77777777" w:rsidR="002A3AC9" w:rsidRPr="00AC474F" w:rsidRDefault="002A3AC9">
      <w:pPr>
        <w:keepNext/>
        <w:tabs>
          <w:tab w:val="left" w:pos="567"/>
        </w:tabs>
        <w:rPr>
          <w:bCs/>
          <w:sz w:val="22"/>
          <w:szCs w:val="22"/>
        </w:rPr>
      </w:pPr>
    </w:p>
    <w:p w14:paraId="5E57F952" w14:textId="77777777" w:rsidR="002A3AC9" w:rsidRDefault="00EC5E4D">
      <w:pPr>
        <w:keepNext/>
        <w:tabs>
          <w:tab w:val="left" w:pos="567"/>
        </w:tabs>
        <w:rPr>
          <w:sz w:val="22"/>
          <w:szCs w:val="22"/>
        </w:rPr>
      </w:pPr>
      <w:r>
        <w:rPr>
          <w:b/>
          <w:sz w:val="22"/>
          <w:szCs w:val="22"/>
        </w:rPr>
        <w:t xml:space="preserve">Megjegyzés: </w:t>
      </w:r>
      <w:r>
        <w:rPr>
          <w:snapToGrid w:val="0"/>
          <w:sz w:val="22"/>
          <w:szCs w:val="22"/>
        </w:rPr>
        <w:sym w:font="Wingdings" w:char="F058"/>
      </w:r>
      <w:r>
        <w:rPr>
          <w:snapToGrid w:val="0"/>
          <w:sz w:val="22"/>
          <w:szCs w:val="22"/>
        </w:rPr>
        <w:sym w:font="Wingdings" w:char="F058"/>
      </w:r>
      <w:r>
        <w:rPr>
          <w:sz w:val="22"/>
          <w:szCs w:val="22"/>
        </w:rPr>
        <w:t xml:space="preserve"> (két kereszt)</w:t>
      </w:r>
    </w:p>
    <w:p w14:paraId="700499D3" w14:textId="77777777" w:rsidR="002A3AC9" w:rsidRDefault="00EC5E4D">
      <w:pPr>
        <w:pStyle w:val="WW-Szvegtrzs31"/>
        <w:keepNext/>
        <w:tabs>
          <w:tab w:val="clear" w:pos="567"/>
        </w:tabs>
        <w:rPr>
          <w:szCs w:val="22"/>
        </w:rPr>
      </w:pPr>
      <w:r>
        <w:rPr>
          <w:szCs w:val="22"/>
        </w:rPr>
        <w:t xml:space="preserve">Osztályozás: </w:t>
      </w:r>
      <w:r>
        <w:rPr>
          <w:b/>
          <w:szCs w:val="22"/>
        </w:rPr>
        <w:t>II. csoport</w:t>
      </w:r>
    </w:p>
    <w:p w14:paraId="7B8E2816" w14:textId="77777777" w:rsidR="002A3AC9" w:rsidRDefault="00EC5E4D">
      <w:pPr>
        <w:keepNext/>
        <w:tabs>
          <w:tab w:val="left" w:pos="567"/>
        </w:tabs>
        <w:rPr>
          <w:sz w:val="22"/>
          <w:szCs w:val="22"/>
        </w:rPr>
      </w:pPr>
      <w:r>
        <w:rPr>
          <w:sz w:val="22"/>
          <w:szCs w:val="22"/>
        </w:rPr>
        <w:t>Kizárólag orvosi rendelvényhez kötött gyógyszer (V).</w:t>
      </w:r>
    </w:p>
    <w:p w14:paraId="17A4DEB0" w14:textId="77777777" w:rsidR="002A3AC9" w:rsidRDefault="002A3AC9">
      <w:pPr>
        <w:tabs>
          <w:tab w:val="left" w:pos="567"/>
        </w:tabs>
        <w:rPr>
          <w:sz w:val="22"/>
          <w:szCs w:val="22"/>
        </w:rPr>
      </w:pPr>
    </w:p>
    <w:p w14:paraId="2AFFC1CF" w14:textId="77777777" w:rsidR="002A3AC9" w:rsidRDefault="002A3AC9">
      <w:pPr>
        <w:tabs>
          <w:tab w:val="left" w:pos="567"/>
        </w:tabs>
        <w:rPr>
          <w:sz w:val="22"/>
          <w:szCs w:val="22"/>
        </w:rPr>
      </w:pPr>
    </w:p>
    <w:p w14:paraId="30BADAB2" w14:textId="77777777" w:rsidR="002A3AC9" w:rsidRDefault="00EC5E4D">
      <w:pPr>
        <w:tabs>
          <w:tab w:val="left" w:pos="708"/>
        </w:tabs>
        <w:ind w:left="567" w:hanging="567"/>
        <w:rPr>
          <w:b/>
          <w:sz w:val="22"/>
          <w:szCs w:val="22"/>
        </w:rPr>
      </w:pPr>
      <w:r>
        <w:rPr>
          <w:b/>
          <w:sz w:val="22"/>
          <w:szCs w:val="22"/>
        </w:rPr>
        <w:t>7.</w:t>
      </w:r>
      <w:r>
        <w:rPr>
          <w:b/>
          <w:sz w:val="22"/>
          <w:szCs w:val="22"/>
        </w:rPr>
        <w:tab/>
        <w:t>A FORGALOMBA HOZATALI ENGEDÉLY JOGOSULTJA</w:t>
      </w:r>
    </w:p>
    <w:p w14:paraId="0B64B6DC" w14:textId="77777777" w:rsidR="002A3AC9" w:rsidRDefault="002A3AC9">
      <w:pPr>
        <w:pStyle w:val="01"/>
        <w:tabs>
          <w:tab w:val="left" w:pos="567"/>
        </w:tabs>
        <w:spacing w:before="0" w:after="0" w:line="240" w:lineRule="auto"/>
        <w:ind w:firstLine="0"/>
        <w:rPr>
          <w:b w:val="0"/>
          <w:sz w:val="22"/>
          <w:szCs w:val="22"/>
        </w:rPr>
      </w:pPr>
    </w:p>
    <w:p w14:paraId="31C7C162" w14:textId="77777777" w:rsidR="002A3AC9" w:rsidRDefault="00EC5E4D">
      <w:pPr>
        <w:pStyle w:val="01"/>
        <w:tabs>
          <w:tab w:val="left" w:pos="567"/>
        </w:tabs>
        <w:spacing w:before="0" w:after="0" w:line="240" w:lineRule="auto"/>
        <w:ind w:firstLine="0"/>
        <w:rPr>
          <w:b w:val="0"/>
          <w:sz w:val="22"/>
          <w:szCs w:val="22"/>
        </w:rPr>
      </w:pPr>
      <w:r>
        <w:rPr>
          <w:b w:val="0"/>
          <w:sz w:val="22"/>
          <w:szCs w:val="22"/>
        </w:rPr>
        <w:t>KRKA, d.d., Novo mesto</w:t>
      </w:r>
    </w:p>
    <w:p w14:paraId="57528D90" w14:textId="77777777" w:rsidR="002A3AC9" w:rsidRDefault="00EC5E4D">
      <w:pPr>
        <w:pStyle w:val="01"/>
        <w:tabs>
          <w:tab w:val="left" w:pos="567"/>
        </w:tabs>
        <w:spacing w:before="0" w:after="0" w:line="240" w:lineRule="auto"/>
        <w:ind w:firstLine="0"/>
        <w:rPr>
          <w:b w:val="0"/>
          <w:sz w:val="22"/>
          <w:szCs w:val="22"/>
          <w:lang w:eastAsia="en-US"/>
        </w:rPr>
      </w:pPr>
      <w:r>
        <w:rPr>
          <w:b w:val="0"/>
          <w:sz w:val="22"/>
          <w:szCs w:val="22"/>
          <w:lang w:eastAsia="en-US"/>
        </w:rPr>
        <w:t>Šmarješka cesta 6, 8501 Novo mesto</w:t>
      </w:r>
    </w:p>
    <w:p w14:paraId="150DB9A9" w14:textId="77777777" w:rsidR="002A3AC9" w:rsidRDefault="00EC5E4D">
      <w:pPr>
        <w:pStyle w:val="01"/>
        <w:tabs>
          <w:tab w:val="left" w:pos="567"/>
        </w:tabs>
        <w:spacing w:before="0" w:after="0" w:line="240" w:lineRule="auto"/>
        <w:ind w:firstLine="0"/>
        <w:rPr>
          <w:b w:val="0"/>
          <w:sz w:val="22"/>
          <w:szCs w:val="22"/>
        </w:rPr>
      </w:pPr>
      <w:r>
        <w:rPr>
          <w:b w:val="0"/>
          <w:sz w:val="22"/>
          <w:szCs w:val="22"/>
        </w:rPr>
        <w:t>Szlovénia</w:t>
      </w:r>
    </w:p>
    <w:p w14:paraId="4A9854E5" w14:textId="77777777" w:rsidR="002A3AC9" w:rsidRDefault="002A3AC9">
      <w:pPr>
        <w:tabs>
          <w:tab w:val="left" w:pos="567"/>
        </w:tabs>
        <w:rPr>
          <w:sz w:val="22"/>
          <w:szCs w:val="22"/>
        </w:rPr>
      </w:pPr>
    </w:p>
    <w:p w14:paraId="50FDC07D" w14:textId="77777777" w:rsidR="002A3AC9" w:rsidRDefault="002A3AC9">
      <w:pPr>
        <w:tabs>
          <w:tab w:val="left" w:pos="567"/>
        </w:tabs>
        <w:rPr>
          <w:sz w:val="22"/>
          <w:szCs w:val="22"/>
        </w:rPr>
      </w:pPr>
    </w:p>
    <w:p w14:paraId="31CE5972" w14:textId="77777777" w:rsidR="002A3AC9" w:rsidRDefault="00EC5E4D">
      <w:pPr>
        <w:tabs>
          <w:tab w:val="left" w:pos="708"/>
        </w:tabs>
        <w:ind w:left="567" w:hanging="567"/>
        <w:rPr>
          <w:b/>
          <w:sz w:val="22"/>
          <w:szCs w:val="22"/>
        </w:rPr>
      </w:pPr>
      <w:r>
        <w:rPr>
          <w:b/>
          <w:sz w:val="22"/>
          <w:szCs w:val="22"/>
        </w:rPr>
        <w:t>8.</w:t>
      </w:r>
      <w:r>
        <w:rPr>
          <w:b/>
          <w:sz w:val="22"/>
          <w:szCs w:val="22"/>
        </w:rPr>
        <w:tab/>
        <w:t xml:space="preserve">A FORGALOMBA HOZATALI ENGEDÉLY SZÁMA </w:t>
      </w:r>
    </w:p>
    <w:p w14:paraId="544A42AE" w14:textId="77777777" w:rsidR="002A3AC9" w:rsidRDefault="002A3AC9">
      <w:pPr>
        <w:tabs>
          <w:tab w:val="left" w:pos="567"/>
        </w:tabs>
        <w:rPr>
          <w:sz w:val="22"/>
          <w:szCs w:val="22"/>
        </w:rPr>
      </w:pPr>
    </w:p>
    <w:p w14:paraId="07DA8418" w14:textId="77777777" w:rsidR="002A3AC9" w:rsidRDefault="00EC5E4D">
      <w:pPr>
        <w:tabs>
          <w:tab w:val="left" w:pos="567"/>
        </w:tabs>
        <w:rPr>
          <w:sz w:val="22"/>
          <w:szCs w:val="22"/>
        </w:rPr>
      </w:pPr>
      <w:r>
        <w:rPr>
          <w:sz w:val="22"/>
          <w:szCs w:val="22"/>
        </w:rPr>
        <w:t>OGYI-T-7441/04</w:t>
      </w:r>
      <w:r>
        <w:rPr>
          <w:sz w:val="22"/>
          <w:szCs w:val="22"/>
        </w:rPr>
        <w:tab/>
      </w:r>
      <w:r>
        <w:rPr>
          <w:sz w:val="22"/>
          <w:szCs w:val="22"/>
        </w:rPr>
        <w:tab/>
      </w:r>
      <w:r>
        <w:rPr>
          <w:sz w:val="22"/>
          <w:szCs w:val="22"/>
        </w:rPr>
        <w:tab/>
        <w:t>(Fromilid 125 mg/5 ml</w:t>
      </w:r>
      <w:r>
        <w:rPr>
          <w:b/>
          <w:sz w:val="22"/>
          <w:szCs w:val="22"/>
        </w:rPr>
        <w:t xml:space="preserve"> </w:t>
      </w:r>
      <w:r>
        <w:rPr>
          <w:sz w:val="22"/>
          <w:szCs w:val="22"/>
        </w:rPr>
        <w:t>granulátum belsőleges szuszpenzióhoz)</w:t>
      </w:r>
    </w:p>
    <w:p w14:paraId="650A4404" w14:textId="77777777" w:rsidR="002A3AC9" w:rsidRDefault="002A3AC9">
      <w:pPr>
        <w:tabs>
          <w:tab w:val="left" w:pos="567"/>
        </w:tabs>
        <w:rPr>
          <w:sz w:val="22"/>
          <w:szCs w:val="22"/>
        </w:rPr>
      </w:pPr>
    </w:p>
    <w:p w14:paraId="55E0293D" w14:textId="77777777" w:rsidR="002A3AC9" w:rsidRDefault="002A3AC9">
      <w:pPr>
        <w:tabs>
          <w:tab w:val="left" w:pos="567"/>
        </w:tabs>
        <w:rPr>
          <w:sz w:val="22"/>
          <w:szCs w:val="22"/>
        </w:rPr>
      </w:pPr>
    </w:p>
    <w:p w14:paraId="139AF68F" w14:textId="77777777" w:rsidR="002A3AC9" w:rsidRDefault="00EC5E4D">
      <w:pPr>
        <w:tabs>
          <w:tab w:val="left" w:pos="708"/>
        </w:tabs>
        <w:ind w:left="567" w:hanging="567"/>
        <w:rPr>
          <w:b/>
          <w:sz w:val="22"/>
          <w:szCs w:val="22"/>
        </w:rPr>
      </w:pPr>
      <w:r>
        <w:rPr>
          <w:b/>
          <w:sz w:val="22"/>
          <w:szCs w:val="22"/>
        </w:rPr>
        <w:t>9.</w:t>
      </w:r>
      <w:r>
        <w:rPr>
          <w:b/>
          <w:sz w:val="22"/>
          <w:szCs w:val="22"/>
        </w:rPr>
        <w:tab/>
        <w:t>A FORGALOMBA HOZATALI ENGEDÉLY ELSŐ KIADÁSÁNAK/ MEGÚJÍTÁSÁNAK DÁTUMA</w:t>
      </w:r>
    </w:p>
    <w:p w14:paraId="3AF186EB" w14:textId="77777777" w:rsidR="002A3AC9" w:rsidRDefault="002A3AC9">
      <w:pPr>
        <w:tabs>
          <w:tab w:val="left" w:pos="708"/>
        </w:tabs>
        <w:rPr>
          <w:sz w:val="22"/>
          <w:szCs w:val="22"/>
        </w:rPr>
      </w:pPr>
    </w:p>
    <w:p w14:paraId="5ED1BD56" w14:textId="77777777" w:rsidR="002A3AC9" w:rsidRDefault="00EC5E4D">
      <w:pPr>
        <w:tabs>
          <w:tab w:val="left" w:pos="708"/>
        </w:tabs>
        <w:rPr>
          <w:sz w:val="22"/>
          <w:szCs w:val="22"/>
        </w:rPr>
      </w:pPr>
      <w:r>
        <w:rPr>
          <w:noProof/>
          <w:sz w:val="22"/>
          <w:szCs w:val="22"/>
          <w:lang w:eastAsia="en-US"/>
        </w:rPr>
        <w:t xml:space="preserve">A forgalomba hozatali engedély első kiadásának dátuma: </w:t>
      </w:r>
      <w:r>
        <w:rPr>
          <w:sz w:val="22"/>
          <w:szCs w:val="22"/>
        </w:rPr>
        <w:t>2003. június 23.</w:t>
      </w:r>
    </w:p>
    <w:p w14:paraId="2F596F86" w14:textId="77777777" w:rsidR="002A3AC9" w:rsidRDefault="002A3AC9">
      <w:pPr>
        <w:tabs>
          <w:tab w:val="left" w:pos="708"/>
        </w:tabs>
        <w:rPr>
          <w:noProof/>
          <w:sz w:val="22"/>
          <w:szCs w:val="22"/>
          <w:lang w:eastAsia="en-US"/>
        </w:rPr>
      </w:pPr>
    </w:p>
    <w:p w14:paraId="15183502" w14:textId="77777777" w:rsidR="002A3AC9" w:rsidRDefault="00EC5E4D">
      <w:pPr>
        <w:tabs>
          <w:tab w:val="left" w:pos="708"/>
        </w:tabs>
        <w:rPr>
          <w:sz w:val="22"/>
          <w:szCs w:val="22"/>
        </w:rPr>
      </w:pPr>
      <w:r>
        <w:rPr>
          <w:noProof/>
          <w:sz w:val="22"/>
          <w:szCs w:val="22"/>
          <w:lang w:eastAsia="en-US"/>
        </w:rPr>
        <w:t xml:space="preserve">A forgalomba hozatali engedély legutóbbi megújításának dátuma: </w:t>
      </w:r>
      <w:r>
        <w:rPr>
          <w:sz w:val="22"/>
          <w:szCs w:val="22"/>
        </w:rPr>
        <w:t>2009. július 30.</w:t>
      </w:r>
    </w:p>
    <w:p w14:paraId="5CB65296" w14:textId="77777777" w:rsidR="002A3AC9" w:rsidRDefault="002A3AC9">
      <w:pPr>
        <w:tabs>
          <w:tab w:val="left" w:pos="708"/>
        </w:tabs>
        <w:rPr>
          <w:sz w:val="22"/>
          <w:szCs w:val="22"/>
        </w:rPr>
      </w:pPr>
    </w:p>
    <w:p w14:paraId="598B1B8F" w14:textId="77777777" w:rsidR="002A3AC9" w:rsidRDefault="002A3AC9">
      <w:pPr>
        <w:tabs>
          <w:tab w:val="left" w:pos="708"/>
        </w:tabs>
        <w:rPr>
          <w:sz w:val="22"/>
          <w:szCs w:val="22"/>
        </w:rPr>
      </w:pPr>
    </w:p>
    <w:p w14:paraId="48AD1956" w14:textId="77777777" w:rsidR="002A3AC9" w:rsidRDefault="00EC5E4D">
      <w:pPr>
        <w:tabs>
          <w:tab w:val="left" w:pos="708"/>
        </w:tabs>
        <w:ind w:left="567" w:hanging="567"/>
        <w:rPr>
          <w:b/>
          <w:sz w:val="22"/>
          <w:szCs w:val="22"/>
        </w:rPr>
      </w:pPr>
      <w:r>
        <w:rPr>
          <w:b/>
          <w:sz w:val="22"/>
          <w:szCs w:val="22"/>
        </w:rPr>
        <w:t>10.</w:t>
      </w:r>
      <w:r>
        <w:rPr>
          <w:b/>
          <w:sz w:val="22"/>
          <w:szCs w:val="22"/>
        </w:rPr>
        <w:tab/>
        <w:t>A SZÖVEG ELLENŐRZÉSÉNEK DÁTUMA</w:t>
      </w:r>
    </w:p>
    <w:p w14:paraId="33B1D0A9" w14:textId="77777777" w:rsidR="002A3AC9" w:rsidRPr="00AC474F" w:rsidRDefault="002A3AC9">
      <w:pPr>
        <w:tabs>
          <w:tab w:val="left" w:pos="567"/>
        </w:tabs>
        <w:rPr>
          <w:bCs/>
          <w:sz w:val="22"/>
          <w:szCs w:val="22"/>
        </w:rPr>
      </w:pPr>
    </w:p>
    <w:p w14:paraId="66921DB7" w14:textId="7086C7C4" w:rsidR="00A209D9" w:rsidRDefault="00A209D9">
      <w:pPr>
        <w:rPr>
          <w:sz w:val="22"/>
          <w:szCs w:val="22"/>
        </w:rPr>
      </w:pPr>
      <w:r>
        <w:rPr>
          <w:sz w:val="22"/>
          <w:szCs w:val="22"/>
        </w:rPr>
        <w:t>202</w:t>
      </w:r>
      <w:r w:rsidR="0056284F">
        <w:rPr>
          <w:sz w:val="22"/>
          <w:szCs w:val="22"/>
        </w:rPr>
        <w:t>6</w:t>
      </w:r>
      <w:r>
        <w:rPr>
          <w:sz w:val="22"/>
          <w:szCs w:val="22"/>
        </w:rPr>
        <w:t xml:space="preserve">. </w:t>
      </w:r>
      <w:r w:rsidR="0056284F">
        <w:rPr>
          <w:sz w:val="22"/>
          <w:szCs w:val="22"/>
        </w:rPr>
        <w:t>április 14</w:t>
      </w:r>
      <w:r>
        <w:rPr>
          <w:sz w:val="22"/>
          <w:szCs w:val="22"/>
        </w:rPr>
        <w:t>.</w:t>
      </w:r>
    </w:p>
    <w:p w14:paraId="2BFD2471" w14:textId="77777777" w:rsidR="002A3AC9" w:rsidRDefault="002A3AC9">
      <w:pPr>
        <w:rPr>
          <w:sz w:val="22"/>
          <w:szCs w:val="22"/>
        </w:rPr>
      </w:pPr>
    </w:p>
    <w:p w14:paraId="296BCA29" w14:textId="77777777" w:rsidR="002A3AC9" w:rsidRDefault="002A3AC9">
      <w:pPr>
        <w:rPr>
          <w:sz w:val="22"/>
          <w:szCs w:val="22"/>
        </w:rPr>
      </w:pPr>
    </w:p>
    <w:sectPr w:rsidR="002A3AC9">
      <w:headerReference w:type="default" r:id="rId9"/>
      <w:footerReference w:type="first" r:id="rId10"/>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F9E52" w14:textId="77777777" w:rsidR="00715249" w:rsidRDefault="00715249">
      <w:r>
        <w:separator/>
      </w:r>
    </w:p>
  </w:endnote>
  <w:endnote w:type="continuationSeparator" w:id="0">
    <w:p w14:paraId="7EC275C0" w14:textId="77777777" w:rsidR="00715249" w:rsidRDefault="00715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6286" w14:textId="538C0A3E" w:rsidR="002A3AC9" w:rsidRDefault="00A209D9">
    <w:pPr>
      <w:pStyle w:val="llb"/>
      <w:rPr>
        <w:sz w:val="18"/>
        <w:szCs w:val="18"/>
      </w:rPr>
    </w:pPr>
    <w:r w:rsidRPr="00A209D9">
      <w:rPr>
        <w:sz w:val="18"/>
        <w:szCs w:val="18"/>
      </w:rPr>
      <w:t>NNGYK/ETGY/25005/2025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6A9EC" w14:textId="77777777" w:rsidR="00715249" w:rsidRDefault="00715249">
      <w:r>
        <w:separator/>
      </w:r>
    </w:p>
  </w:footnote>
  <w:footnote w:type="continuationSeparator" w:id="0">
    <w:p w14:paraId="040FFC79" w14:textId="77777777" w:rsidR="00715249" w:rsidRDefault="00715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F9AFD" w14:textId="77777777" w:rsidR="002A3AC9" w:rsidRDefault="00EC5E4D">
    <w:pPr>
      <w:pStyle w:val="lfej"/>
      <w:jc w:val="center"/>
    </w:pPr>
    <w:r>
      <w:fldChar w:fldCharType="begin"/>
    </w:r>
    <w:r>
      <w:instrText xml:space="preserve"> PAGE \*ARABIC </w:instrText>
    </w:r>
    <w:r>
      <w:fldChar w:fldCharType="separate"/>
    </w:r>
    <w:r>
      <w:rPr>
        <w:noProof/>
      </w:rPr>
      <w:t>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7"/>
        </w:tabs>
      </w:pPr>
      <w:rPr>
        <w:rFonts w:ascii="Symbol" w:hAnsi="Symbol" w:cs="StarSymbol"/>
        <w:sz w:val="18"/>
        <w:szCs w:val="18"/>
      </w:rPr>
    </w:lvl>
    <w:lvl w:ilvl="1">
      <w:start w:val="1"/>
      <w:numFmt w:val="bullet"/>
      <w:lvlText w:val="·"/>
      <w:lvlJc w:val="left"/>
      <w:pPr>
        <w:tabs>
          <w:tab w:val="num" w:pos="207"/>
        </w:tabs>
      </w:pPr>
      <w:rPr>
        <w:rFonts w:ascii="Symbol" w:hAnsi="Symbol" w:cs="StarSymbol"/>
        <w:sz w:val="18"/>
        <w:szCs w:val="18"/>
      </w:rPr>
    </w:lvl>
    <w:lvl w:ilvl="2">
      <w:start w:val="1"/>
      <w:numFmt w:val="bullet"/>
      <w:lvlText w:val="·"/>
      <w:lvlJc w:val="left"/>
      <w:pPr>
        <w:tabs>
          <w:tab w:val="num" w:pos="490"/>
        </w:tabs>
      </w:pPr>
      <w:rPr>
        <w:rFonts w:ascii="Symbol" w:hAnsi="Symbol" w:cs="StarSymbol"/>
        <w:sz w:val="18"/>
        <w:szCs w:val="18"/>
      </w:rPr>
    </w:lvl>
    <w:lvl w:ilvl="3">
      <w:start w:val="1"/>
      <w:numFmt w:val="bullet"/>
      <w:lvlText w:val="·"/>
      <w:lvlJc w:val="left"/>
      <w:pPr>
        <w:tabs>
          <w:tab w:val="num" w:pos="774"/>
        </w:tabs>
      </w:pPr>
      <w:rPr>
        <w:rFonts w:ascii="Symbol" w:hAnsi="Symbol" w:cs="StarSymbol"/>
        <w:sz w:val="18"/>
        <w:szCs w:val="18"/>
      </w:rPr>
    </w:lvl>
    <w:lvl w:ilvl="4">
      <w:start w:val="1"/>
      <w:numFmt w:val="bullet"/>
      <w:lvlText w:val="·"/>
      <w:lvlJc w:val="left"/>
      <w:pPr>
        <w:tabs>
          <w:tab w:val="num" w:pos="1057"/>
        </w:tabs>
      </w:pPr>
      <w:rPr>
        <w:rFonts w:ascii="Symbol" w:hAnsi="Symbol" w:cs="StarSymbol"/>
        <w:sz w:val="18"/>
        <w:szCs w:val="18"/>
      </w:rPr>
    </w:lvl>
    <w:lvl w:ilvl="5">
      <w:start w:val="1"/>
      <w:numFmt w:val="bullet"/>
      <w:lvlText w:val="·"/>
      <w:lvlJc w:val="left"/>
      <w:pPr>
        <w:tabs>
          <w:tab w:val="num" w:pos="1341"/>
        </w:tabs>
      </w:pPr>
      <w:rPr>
        <w:rFonts w:ascii="Symbol" w:hAnsi="Symbol" w:cs="StarSymbol"/>
        <w:sz w:val="18"/>
        <w:szCs w:val="18"/>
      </w:rPr>
    </w:lvl>
    <w:lvl w:ilvl="6">
      <w:start w:val="1"/>
      <w:numFmt w:val="bullet"/>
      <w:lvlText w:val="·"/>
      <w:lvlJc w:val="left"/>
      <w:pPr>
        <w:tabs>
          <w:tab w:val="num" w:pos="1624"/>
        </w:tabs>
      </w:pPr>
      <w:rPr>
        <w:rFonts w:ascii="Symbol" w:hAnsi="Symbol" w:cs="StarSymbol"/>
        <w:sz w:val="18"/>
        <w:szCs w:val="18"/>
      </w:rPr>
    </w:lvl>
    <w:lvl w:ilvl="7">
      <w:start w:val="1"/>
      <w:numFmt w:val="bullet"/>
      <w:lvlText w:val="·"/>
      <w:lvlJc w:val="left"/>
      <w:pPr>
        <w:tabs>
          <w:tab w:val="num" w:pos="1908"/>
        </w:tabs>
      </w:pPr>
      <w:rPr>
        <w:rFonts w:ascii="Symbol" w:hAnsi="Symbol" w:cs="StarSymbol"/>
        <w:sz w:val="18"/>
        <w:szCs w:val="18"/>
      </w:rPr>
    </w:lvl>
    <w:lvl w:ilvl="8">
      <w:start w:val="1"/>
      <w:numFmt w:val="bullet"/>
      <w:lvlText w:val="·"/>
      <w:lvlJc w:val="left"/>
      <w:pPr>
        <w:tabs>
          <w:tab w:val="num" w:pos="2191"/>
        </w:tabs>
      </w:pPr>
      <w:rPr>
        <w:rFonts w:ascii="Symbol" w:hAnsi="Symbol" w:cs="StarSymbol"/>
        <w:sz w:val="18"/>
        <w:szCs w:val="18"/>
      </w:rPr>
    </w:lvl>
  </w:abstractNum>
  <w:abstractNum w:abstractNumId="1" w15:restartNumberingAfterBreak="0">
    <w:nsid w:val="00000002"/>
    <w:multiLevelType w:val="singleLevel"/>
    <w:tmpl w:val="00000002"/>
    <w:name w:val="WW8Num2"/>
    <w:lvl w:ilvl="0">
      <w:start w:val="1"/>
      <w:numFmt w:val="bullet"/>
      <w:lvlText w:val="·"/>
      <w:lvlJc w:val="left"/>
      <w:pPr>
        <w:tabs>
          <w:tab w:val="num" w:pos="945"/>
        </w:tabs>
      </w:pPr>
      <w:rPr>
        <w:rFonts w:ascii="Symbol" w:hAnsi="Symbol"/>
      </w:rPr>
    </w:lvl>
  </w:abstractNum>
  <w:abstractNum w:abstractNumId="2" w15:restartNumberingAfterBreak="0">
    <w:nsid w:val="00000003"/>
    <w:multiLevelType w:val="multilevel"/>
    <w:tmpl w:val="00000003"/>
    <w:name w:val="Outline"/>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3" w15:restartNumberingAfterBreak="0">
    <w:nsid w:val="01387DB5"/>
    <w:multiLevelType w:val="hybridMultilevel"/>
    <w:tmpl w:val="B7F82ABA"/>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426B8D"/>
    <w:multiLevelType w:val="hybridMultilevel"/>
    <w:tmpl w:val="9EB0761E"/>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B6372B"/>
    <w:multiLevelType w:val="hybridMultilevel"/>
    <w:tmpl w:val="473AF1C4"/>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5D337C"/>
    <w:multiLevelType w:val="hybridMultilevel"/>
    <w:tmpl w:val="B5228BC2"/>
    <w:lvl w:ilvl="0" w:tplc="0409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41F34BD"/>
    <w:multiLevelType w:val="hybridMultilevel"/>
    <w:tmpl w:val="74347FCA"/>
    <w:lvl w:ilvl="0" w:tplc="0A7C73A8">
      <w:start w:val="8"/>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4BC3B79"/>
    <w:multiLevelType w:val="hybridMultilevel"/>
    <w:tmpl w:val="9056D7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7810F00"/>
    <w:multiLevelType w:val="hybridMultilevel"/>
    <w:tmpl w:val="6FA0D8B2"/>
    <w:lvl w:ilvl="0" w:tplc="DBA283EE">
      <w:start w:val="2"/>
      <w:numFmt w:val="bullet"/>
      <w:lvlText w:val="-"/>
      <w:lvlJc w:val="left"/>
      <w:pPr>
        <w:tabs>
          <w:tab w:val="num" w:pos="930"/>
        </w:tabs>
        <w:ind w:left="930" w:hanging="57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E30A05"/>
    <w:multiLevelType w:val="multilevel"/>
    <w:tmpl w:val="E36C2248"/>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EF86000"/>
    <w:multiLevelType w:val="hybridMultilevel"/>
    <w:tmpl w:val="59407266"/>
    <w:lvl w:ilvl="0" w:tplc="71B0FED2">
      <w:start w:val="1"/>
      <w:numFmt w:val="bullet"/>
      <w:lvlText w:val="-"/>
      <w:lvlJc w:val="left"/>
      <w:pPr>
        <w:ind w:left="720" w:hanging="360"/>
      </w:pPr>
      <w:rPr>
        <w:rFonts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F1816"/>
    <w:multiLevelType w:val="hybridMultilevel"/>
    <w:tmpl w:val="74EA9ECA"/>
    <w:lvl w:ilvl="0" w:tplc="B9A45B74">
      <w:numFmt w:val="bullet"/>
      <w:lvlText w:val="-"/>
      <w:lvlJc w:val="left"/>
      <w:pPr>
        <w:tabs>
          <w:tab w:val="num" w:pos="284"/>
        </w:tabs>
        <w:ind w:left="284" w:hanging="284"/>
      </w:pPr>
      <w:rPr>
        <w:rFonts w:ascii="Arial" w:hAnsi="Aria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132B0E"/>
    <w:multiLevelType w:val="hybridMultilevel"/>
    <w:tmpl w:val="E36C2248"/>
    <w:lvl w:ilvl="0" w:tplc="040E0005">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1DB6503"/>
    <w:multiLevelType w:val="hybridMultilevel"/>
    <w:tmpl w:val="9FF4DDAC"/>
    <w:lvl w:ilvl="0" w:tplc="06E0241C">
      <w:start w:val="8"/>
      <w:numFmt w:val="bullet"/>
      <w:lvlText w:val=""/>
      <w:lvlJc w:val="left"/>
      <w:pPr>
        <w:tabs>
          <w:tab w:val="num" w:pos="720"/>
        </w:tabs>
        <w:ind w:left="720" w:hanging="360"/>
      </w:pPr>
      <w:rPr>
        <w:rFonts w:ascii="Symbol" w:eastAsia="Times New Roman" w:hAnsi="Symbol"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A2497F"/>
    <w:multiLevelType w:val="hybridMultilevel"/>
    <w:tmpl w:val="CB46C846"/>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DF449F7"/>
    <w:multiLevelType w:val="hybridMultilevel"/>
    <w:tmpl w:val="819A8532"/>
    <w:lvl w:ilvl="0" w:tplc="B9A45B74">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40858751">
    <w:abstractNumId w:val="0"/>
  </w:num>
  <w:num w:numId="2" w16cid:durableId="1042169437">
    <w:abstractNumId w:val="1"/>
  </w:num>
  <w:num w:numId="3" w16cid:durableId="2121799670">
    <w:abstractNumId w:val="2"/>
  </w:num>
  <w:num w:numId="4" w16cid:durableId="220407378">
    <w:abstractNumId w:val="16"/>
  </w:num>
  <w:num w:numId="5" w16cid:durableId="2134713958">
    <w:abstractNumId w:val="5"/>
  </w:num>
  <w:num w:numId="6" w16cid:durableId="1681615200">
    <w:abstractNumId w:val="3"/>
  </w:num>
  <w:num w:numId="7" w16cid:durableId="556287020">
    <w:abstractNumId w:val="12"/>
  </w:num>
  <w:num w:numId="8" w16cid:durableId="1013343829">
    <w:abstractNumId w:val="4"/>
  </w:num>
  <w:num w:numId="9" w16cid:durableId="2096397340">
    <w:abstractNumId w:val="15"/>
  </w:num>
  <w:num w:numId="10" w16cid:durableId="712732424">
    <w:abstractNumId w:val="9"/>
  </w:num>
  <w:num w:numId="11" w16cid:durableId="1671912529">
    <w:abstractNumId w:val="14"/>
  </w:num>
  <w:num w:numId="12" w16cid:durableId="2098360150">
    <w:abstractNumId w:val="13"/>
  </w:num>
  <w:num w:numId="13" w16cid:durableId="817768072">
    <w:abstractNumId w:val="10"/>
  </w:num>
  <w:num w:numId="14" w16cid:durableId="1636450925">
    <w:abstractNumId w:val="6"/>
  </w:num>
  <w:num w:numId="15" w16cid:durableId="516386201">
    <w:abstractNumId w:val="11"/>
  </w:num>
  <w:num w:numId="16" w16cid:durableId="1263026297">
    <w:abstractNumId w:val="8"/>
  </w:num>
  <w:num w:numId="17" w16cid:durableId="978022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AC9"/>
    <w:rsid w:val="000D2E2B"/>
    <w:rsid w:val="001B42DA"/>
    <w:rsid w:val="001B6F3F"/>
    <w:rsid w:val="002A3AC9"/>
    <w:rsid w:val="0056284F"/>
    <w:rsid w:val="00715249"/>
    <w:rsid w:val="00726EF8"/>
    <w:rsid w:val="007F4DF4"/>
    <w:rsid w:val="008B2746"/>
    <w:rsid w:val="00955180"/>
    <w:rsid w:val="00A02DC9"/>
    <w:rsid w:val="00A209D9"/>
    <w:rsid w:val="00A3329F"/>
    <w:rsid w:val="00AC474F"/>
    <w:rsid w:val="00AE35A1"/>
    <w:rsid w:val="00B0483F"/>
    <w:rsid w:val="00B260EE"/>
    <w:rsid w:val="00BD2763"/>
    <w:rsid w:val="00CB58AC"/>
    <w:rsid w:val="00DD4CCC"/>
    <w:rsid w:val="00EA0269"/>
    <w:rsid w:val="00EC5E4D"/>
    <w:rsid w:val="00EC7204"/>
    <w:rsid w:val="00F50B3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2050"/>
    <o:shapelayout v:ext="edit">
      <o:idmap v:ext="edit" data="2"/>
    </o:shapelayout>
  </w:shapeDefaults>
  <w:decimalSymbol w:val=","/>
  <w:listSeparator w:val=";"/>
  <w14:docId w14:val="45C8A855"/>
  <w15:chartTrackingRefBased/>
  <w15:docId w15:val="{62BCA0A2-7296-4F5F-9D00-961508133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uppressAutoHyphens/>
    </w:pPr>
  </w:style>
  <w:style w:type="paragraph" w:styleId="Cmsor1">
    <w:name w:val="heading 1"/>
    <w:basedOn w:val="Norml"/>
    <w:next w:val="Norml"/>
    <w:qFormat/>
    <w:pPr>
      <w:keepNext/>
      <w:numPr>
        <w:numId w:val="3"/>
      </w:numPr>
      <w:spacing w:after="60"/>
      <w:outlineLvl w:val="0"/>
    </w:pPr>
    <w:rPr>
      <w:sz w:val="26"/>
    </w:rPr>
  </w:style>
  <w:style w:type="paragraph" w:styleId="Cmsor2">
    <w:name w:val="heading 2"/>
    <w:basedOn w:val="Norml"/>
    <w:next w:val="Norml"/>
    <w:qFormat/>
    <w:pPr>
      <w:keepNext/>
      <w:numPr>
        <w:ilvl w:val="1"/>
        <w:numId w:val="3"/>
      </w:numPr>
      <w:ind w:left="5664"/>
      <w:outlineLvl w:val="1"/>
    </w:pPr>
    <w:rPr>
      <w:sz w:val="26"/>
    </w:rPr>
  </w:style>
  <w:style w:type="paragraph" w:styleId="Cmsor3">
    <w:name w:val="heading 3"/>
    <w:basedOn w:val="Norml"/>
    <w:next w:val="Norml"/>
    <w:qFormat/>
    <w:pPr>
      <w:keepNext/>
      <w:numPr>
        <w:ilvl w:val="2"/>
        <w:numId w:val="3"/>
      </w:numPr>
      <w:outlineLvl w:val="2"/>
    </w:pPr>
    <w:rPr>
      <w:i/>
      <w:sz w:val="26"/>
    </w:rPr>
  </w:style>
  <w:style w:type="paragraph" w:styleId="Cmsor4">
    <w:name w:val="heading 4"/>
    <w:basedOn w:val="Norml"/>
    <w:next w:val="Norml"/>
    <w:qFormat/>
    <w:pPr>
      <w:keepNext/>
      <w:suppressLineNumbers/>
      <w:tabs>
        <w:tab w:val="left" w:pos="567"/>
      </w:tabs>
      <w:outlineLvl w:val="3"/>
    </w:pPr>
    <w:rPr>
      <w:i/>
      <w:sz w:val="22"/>
    </w:rPr>
  </w:style>
  <w:style w:type="paragraph" w:styleId="Cmsor5">
    <w:name w:val="heading 5"/>
    <w:basedOn w:val="Norml"/>
    <w:next w:val="Norml"/>
    <w:qFormat/>
    <w:pPr>
      <w:keepNext/>
      <w:spacing w:before="60"/>
      <w:jc w:val="both"/>
      <w:outlineLvl w:val="4"/>
    </w:pPr>
    <w:rPr>
      <w:b/>
      <w:sz w:val="22"/>
      <w:lang w:val="en-GB"/>
    </w:rPr>
  </w:style>
  <w:style w:type="paragraph" w:styleId="Cmsor6">
    <w:name w:val="heading 6"/>
    <w:basedOn w:val="Norml"/>
    <w:next w:val="Norml"/>
    <w:link w:val="Cmsor6Char"/>
    <w:uiPriority w:val="9"/>
    <w:qFormat/>
    <w:pPr>
      <w:spacing w:before="240" w:after="60"/>
      <w:outlineLvl w:val="5"/>
    </w:pPr>
    <w:rPr>
      <w:rFonts w:ascii="Calibri" w:hAnsi="Calibri"/>
      <w:b/>
      <w:bCs/>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Symbol" w:hAnsi="Symbol" w:cs="StarSymbol"/>
      <w:sz w:val="18"/>
      <w:szCs w:val="18"/>
    </w:rPr>
  </w:style>
  <w:style w:type="character" w:customStyle="1" w:styleId="WW8Num2z0">
    <w:name w:val="WW8Num2z0"/>
    <w:rPr>
      <w:rFonts w:ascii="Symbol" w:hAnsi="Symbol"/>
    </w:rPr>
  </w:style>
  <w:style w:type="character" w:customStyle="1" w:styleId="WW-Absatz-Standardschriftart">
    <w:name w:val="WW-Absatz-Standardschriftart"/>
  </w:style>
  <w:style w:type="character" w:customStyle="1" w:styleId="WW8Num3z0">
    <w:name w:val="WW8Num3z0"/>
    <w:rPr>
      <w:rFonts w:ascii="Symbol" w:hAnsi="Symbol" w:cs="StarSymbol"/>
      <w:sz w:val="18"/>
      <w:szCs w:val="18"/>
    </w:rPr>
  </w:style>
  <w:style w:type="character" w:customStyle="1" w:styleId="WW8Num4z0">
    <w:name w:val="WW8Num4z0"/>
    <w:rPr>
      <w:rFonts w:ascii="Symbol" w:hAnsi="Symbol" w:cs="StarSymbol"/>
      <w:sz w:val="18"/>
      <w:szCs w:val="18"/>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Bekezdsalap-bettpusa">
    <w:name w:val="WW-Bekezdés alap-betűtípusa"/>
  </w:style>
  <w:style w:type="character" w:customStyle="1" w:styleId="WW-Bekezdsalap-bettpusa1">
    <w:name w:val="WW-Bekezdés alap-betűtípusa1"/>
  </w:style>
  <w:style w:type="character" w:styleId="Oldalszm">
    <w:name w:val="page number"/>
    <w:basedOn w:val="WW-Bekezdsalap-bettpusa1"/>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character" w:customStyle="1" w:styleId="WW-Felsorolsjelek1">
    <w:name w:val="WW-Felsorolásjelek1"/>
    <w:rPr>
      <w:rFonts w:ascii="StarSymbol" w:eastAsia="StarSymbol" w:hAnsi="StarSymbol" w:cs="StarSymbol"/>
      <w:sz w:val="18"/>
      <w:szCs w:val="18"/>
    </w:rPr>
  </w:style>
  <w:style w:type="character" w:customStyle="1" w:styleId="WW-WW8Num1z0">
    <w:name w:val="WW-WW8Num1z0"/>
    <w:rPr>
      <w:rFonts w:ascii="Symbol" w:hAnsi="Symbol"/>
    </w:rPr>
  </w:style>
  <w:style w:type="character" w:customStyle="1" w:styleId="WW-Bekezdsalap-bettpusa2">
    <w:name w:val="WW-Bekezdés alap-betűtípusa2"/>
  </w:style>
  <w:style w:type="character" w:customStyle="1" w:styleId="WW-WW8Num1z01">
    <w:name w:val="WW-WW8Num1z01"/>
    <w:rPr>
      <w:rFonts w:ascii="Symbol" w:hAnsi="Symbol"/>
    </w:rPr>
  </w:style>
  <w:style w:type="paragraph" w:styleId="Szvegtrzs">
    <w:name w:val="Body Text"/>
    <w:basedOn w:val="Norml"/>
    <w:pPr>
      <w:ind w:right="-142"/>
    </w:pPr>
    <w:rPr>
      <w:sz w:val="26"/>
    </w:rPr>
  </w:style>
  <w:style w:type="paragraph" w:styleId="Lista">
    <w:name w:val="List"/>
    <w:basedOn w:val="Szvegtrzs"/>
    <w:rPr>
      <w:rFonts w:cs="Lucida Sans Unicode"/>
    </w:rPr>
  </w:style>
  <w:style w:type="paragraph" w:customStyle="1" w:styleId="Felirat">
    <w:name w:val="Felirat"/>
    <w:basedOn w:val="Norml"/>
    <w:pPr>
      <w:suppressLineNumbers/>
      <w:spacing w:before="120" w:after="120"/>
    </w:pPr>
    <w:rPr>
      <w:rFonts w:cs="Tahoma"/>
      <w:i/>
      <w:iCs/>
    </w:rPr>
  </w:style>
  <w:style w:type="paragraph" w:customStyle="1" w:styleId="Trgymutat">
    <w:name w:val="Tárgymutató"/>
    <w:basedOn w:val="Norml"/>
    <w:pPr>
      <w:suppressLineNumbers/>
    </w:pPr>
    <w:rPr>
      <w:rFonts w:cs="Tahoma"/>
    </w:rPr>
  </w:style>
  <w:style w:type="paragraph" w:customStyle="1" w:styleId="Cmsor">
    <w:name w:val="Címsor"/>
    <w:basedOn w:val="Norml"/>
    <w:next w:val="Szvegtrzs"/>
    <w:pPr>
      <w:keepNext/>
      <w:spacing w:before="240" w:after="120"/>
    </w:pPr>
    <w:rPr>
      <w:rFonts w:ascii="Arial" w:eastAsia="Lucida Sans Unicode" w:hAnsi="Arial" w:cs="Tahoma"/>
      <w:sz w:val="28"/>
      <w:szCs w:val="28"/>
    </w:rPr>
  </w:style>
  <w:style w:type="paragraph" w:customStyle="1" w:styleId="WW-Felirat">
    <w:name w:val="WW-Felirat"/>
    <w:basedOn w:val="Norml"/>
    <w:pPr>
      <w:suppressLineNumbers/>
      <w:spacing w:before="120" w:after="120"/>
    </w:pPr>
    <w:rPr>
      <w:rFonts w:cs="Tahoma"/>
      <w:i/>
      <w:iCs/>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Lucida Sans Unicode" w:hAnsi="Arial" w:cs="Tahoma"/>
      <w:sz w:val="28"/>
      <w:szCs w:val="28"/>
    </w:rPr>
  </w:style>
  <w:style w:type="paragraph" w:styleId="Szvegtrzsbehzssal">
    <w:name w:val="Body Text Indent"/>
    <w:basedOn w:val="Norml"/>
    <w:pPr>
      <w:tabs>
        <w:tab w:val="left" w:pos="6663"/>
      </w:tabs>
      <w:ind w:left="1416"/>
    </w:pPr>
    <w:rPr>
      <w:sz w:val="18"/>
    </w:rPr>
  </w:style>
  <w:style w:type="paragraph" w:customStyle="1" w:styleId="WW-Cmsor1">
    <w:name w:val="WW-Címsor1"/>
    <w:basedOn w:val="Norml"/>
    <w:next w:val="Szvegtrzs"/>
    <w:pPr>
      <w:keepNext/>
      <w:spacing w:before="240" w:after="120"/>
    </w:pPr>
    <w:rPr>
      <w:rFonts w:ascii="Albany" w:eastAsia="HG Mincho Light J" w:hAnsi="Albany"/>
      <w:sz w:val="28"/>
    </w:rPr>
  </w:style>
  <w:style w:type="paragraph" w:styleId="lfej">
    <w:name w:val="header"/>
    <w:basedOn w:val="Norml"/>
    <w:pPr>
      <w:tabs>
        <w:tab w:val="center" w:pos="4819"/>
        <w:tab w:val="right" w:pos="9071"/>
      </w:tabs>
    </w:pPr>
  </w:style>
  <w:style w:type="paragraph" w:styleId="llb">
    <w:name w:val="footer"/>
    <w:basedOn w:val="Norml"/>
    <w:pPr>
      <w:tabs>
        <w:tab w:val="center" w:pos="4536"/>
        <w:tab w:val="right" w:pos="9072"/>
      </w:tabs>
    </w:p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WW-Tblzattartalom1">
    <w:name w:val="WW-Táblázattartalom1"/>
    <w:basedOn w:val="Szvegtrzs"/>
    <w:pPr>
      <w:suppressLineNumbers/>
    </w:pPr>
  </w:style>
  <w:style w:type="paragraph" w:customStyle="1" w:styleId="Tblzatfejlc">
    <w:name w:val="Táblázatfejléc"/>
    <w:basedOn w:val="Tblzattartalom"/>
    <w:pPr>
      <w:jc w:val="center"/>
    </w:pPr>
    <w:rPr>
      <w:b/>
      <w:bCs/>
      <w:i/>
      <w:iCs/>
    </w:rPr>
  </w:style>
  <w:style w:type="paragraph" w:customStyle="1" w:styleId="WW-Tblzatfejlc">
    <w:name w:val="WW-Táblázatfejléc"/>
    <w:basedOn w:val="WW-Tblzattartalom"/>
    <w:pPr>
      <w:jc w:val="center"/>
    </w:pPr>
    <w:rPr>
      <w:b/>
      <w:bCs/>
      <w:i/>
      <w:iCs/>
    </w:rPr>
  </w:style>
  <w:style w:type="paragraph" w:customStyle="1" w:styleId="WW-Tblzatfejlc1">
    <w:name w:val="WW-Táblázatfejléc1"/>
    <w:basedOn w:val="WW-Tblzattartalom1"/>
    <w:pPr>
      <w:jc w:val="center"/>
    </w:pPr>
    <w:rPr>
      <w:b/>
      <w:i/>
    </w:rPr>
  </w:style>
  <w:style w:type="paragraph" w:customStyle="1" w:styleId="WW-Felirat1">
    <w:name w:val="WW-Felirat1"/>
    <w:basedOn w:val="Norml"/>
    <w:pPr>
      <w:suppressLineNumbers/>
      <w:spacing w:before="120" w:after="120"/>
    </w:pPr>
    <w:rPr>
      <w:rFonts w:cs="Lucida Sans Unicode"/>
      <w:i/>
      <w:iCs/>
    </w:rPr>
  </w:style>
  <w:style w:type="paragraph" w:customStyle="1" w:styleId="Kerettartalom">
    <w:name w:val="Kerettartalom"/>
    <w:basedOn w:val="Szvegtrzs"/>
  </w:style>
  <w:style w:type="paragraph" w:customStyle="1" w:styleId="WW-Kerettartalom">
    <w:name w:val="WW-Kerettartalom"/>
    <w:basedOn w:val="Szvegtrzs"/>
  </w:style>
  <w:style w:type="paragraph" w:customStyle="1" w:styleId="WW-Kerettartalom1">
    <w:name w:val="WW-Kerettartalom1"/>
    <w:basedOn w:val="Szvegtrzs"/>
  </w:style>
  <w:style w:type="paragraph" w:customStyle="1" w:styleId="WW-Trgymutat1">
    <w:name w:val="WW-Tárgymutató1"/>
    <w:basedOn w:val="Norml"/>
    <w:pPr>
      <w:suppressLineNumbers/>
    </w:pPr>
    <w:rPr>
      <w:rFonts w:cs="Lucida Sans Unicode"/>
    </w:rPr>
  </w:style>
  <w:style w:type="paragraph" w:customStyle="1" w:styleId="01">
    <w:name w:val="01"/>
    <w:basedOn w:val="Norml"/>
    <w:pPr>
      <w:spacing w:before="240" w:after="120" w:line="264" w:lineRule="auto"/>
      <w:ind w:hanging="567"/>
    </w:pPr>
    <w:rPr>
      <w:b/>
      <w:kern w:val="1"/>
      <w:sz w:val="24"/>
    </w:rPr>
  </w:style>
  <w:style w:type="paragraph" w:customStyle="1" w:styleId="02">
    <w:name w:val="02"/>
    <w:basedOn w:val="Norml"/>
    <w:pPr>
      <w:spacing w:before="180" w:after="120" w:line="264" w:lineRule="auto"/>
      <w:ind w:hanging="567"/>
    </w:pPr>
    <w:rPr>
      <w:b/>
      <w:kern w:val="1"/>
      <w:sz w:val="24"/>
    </w:rPr>
  </w:style>
  <w:style w:type="paragraph" w:customStyle="1" w:styleId="03">
    <w:name w:val="03"/>
    <w:basedOn w:val="Norml"/>
    <w:pPr>
      <w:spacing w:before="120" w:after="60" w:line="264" w:lineRule="auto"/>
      <w:ind w:hanging="567"/>
      <w:jc w:val="both"/>
    </w:pPr>
    <w:rPr>
      <w:b/>
      <w:i/>
      <w:kern w:val="1"/>
      <w:sz w:val="24"/>
    </w:rPr>
  </w:style>
  <w:style w:type="paragraph" w:customStyle="1" w:styleId="WW-Szvegtrzs2">
    <w:name w:val="WW-Szövegtörzs 2"/>
    <w:basedOn w:val="Norml"/>
    <w:pPr>
      <w:ind w:right="-143"/>
    </w:pPr>
    <w:rPr>
      <w:sz w:val="26"/>
    </w:rPr>
  </w:style>
  <w:style w:type="paragraph" w:customStyle="1" w:styleId="WW-Szvegtrzs3">
    <w:name w:val="WW-Szövegtörzs 3"/>
    <w:basedOn w:val="Norml"/>
    <w:pPr>
      <w:ind w:right="-285"/>
    </w:pPr>
    <w:rPr>
      <w:sz w:val="26"/>
    </w:rPr>
  </w:style>
  <w:style w:type="paragraph" w:customStyle="1" w:styleId="WW-Szvegtrzs21">
    <w:name w:val="WW-Szövegtörzs 21"/>
    <w:basedOn w:val="Norml"/>
    <w:pPr>
      <w:widowControl w:val="0"/>
      <w:tabs>
        <w:tab w:val="left" w:pos="567"/>
      </w:tabs>
      <w:spacing w:line="260" w:lineRule="exact"/>
    </w:pPr>
    <w:rPr>
      <w:rFonts w:eastAsia="Lucida Sans Unicode" w:cs="Lucida Sans Unicode"/>
      <w:b/>
      <w:sz w:val="22"/>
      <w:szCs w:val="24"/>
    </w:rPr>
  </w:style>
  <w:style w:type="paragraph" w:customStyle="1" w:styleId="WW-Szvegtrzs31">
    <w:name w:val="WW-Szövegtörzs 31"/>
    <w:basedOn w:val="Norml"/>
    <w:pPr>
      <w:tabs>
        <w:tab w:val="left" w:pos="567"/>
      </w:tabs>
    </w:pPr>
    <w:rPr>
      <w:sz w:val="22"/>
    </w:rPr>
  </w:style>
  <w:style w:type="paragraph" w:customStyle="1" w:styleId="Naslov21">
    <w:name w:val="Naslov 21"/>
    <w:basedOn w:val="Norml"/>
    <w:next w:val="Norml"/>
    <w:pPr>
      <w:keepNext/>
    </w:pPr>
    <w:rPr>
      <w:b/>
      <w:sz w:val="26"/>
    </w:rPr>
  </w:style>
  <w:style w:type="paragraph" w:customStyle="1" w:styleId="WW-Szvegtrzs212">
    <w:name w:val="WW-Szövegtörzs 212"/>
    <w:basedOn w:val="Norml"/>
    <w:pPr>
      <w:tabs>
        <w:tab w:val="center" w:pos="1843"/>
        <w:tab w:val="left" w:pos="6237"/>
      </w:tabs>
      <w:jc w:val="center"/>
    </w:pPr>
    <w:rPr>
      <w:sz w:val="22"/>
    </w:rPr>
  </w:style>
  <w:style w:type="paragraph" w:customStyle="1" w:styleId="WW-Szvegtrzs2121">
    <w:name w:val="WW-Szövegtörzs 2121"/>
    <w:basedOn w:val="Norml"/>
    <w:pPr>
      <w:spacing w:line="260" w:lineRule="atLeast"/>
      <w:ind w:left="567" w:hanging="567"/>
    </w:pPr>
    <w:rPr>
      <w:b/>
      <w:sz w:val="22"/>
      <w:lang w:val="en-GB"/>
    </w:rPr>
  </w:style>
  <w:style w:type="paragraph" w:customStyle="1" w:styleId="WW-NormlWeb">
    <w:name w:val="WW-Normál (Web)"/>
    <w:basedOn w:val="Norml"/>
    <w:pPr>
      <w:spacing w:before="100" w:after="119" w:line="260" w:lineRule="atLeast"/>
    </w:pPr>
    <w:rPr>
      <w:rFonts w:ascii="Arial Unicode MS" w:eastAsia="Arial Unicode MS" w:hAnsi="Arial Unicode MS"/>
      <w:sz w:val="24"/>
    </w:rPr>
  </w:style>
  <w:style w:type="paragraph" w:styleId="Buborkszveg">
    <w:name w:val="Balloon Text"/>
    <w:basedOn w:val="Norml"/>
    <w:semiHidden/>
    <w:rPr>
      <w:rFonts w:ascii="Tahoma" w:hAnsi="Tahoma" w:cs="Tahoma"/>
      <w:sz w:val="16"/>
      <w:szCs w:val="16"/>
    </w:r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semiHidden/>
    <w:rPr>
      <w:sz w:val="16"/>
      <w:szCs w:val="16"/>
    </w:rPr>
  </w:style>
  <w:style w:type="paragraph" w:styleId="Jegyzetszveg">
    <w:name w:val="annotation text"/>
    <w:basedOn w:val="Norml"/>
    <w:semiHidden/>
  </w:style>
  <w:style w:type="paragraph" w:styleId="Megjegyzstrgya">
    <w:name w:val="annotation subject"/>
    <w:basedOn w:val="Jegyzetszveg"/>
    <w:next w:val="Jegyzetszveg"/>
    <w:semiHidden/>
    <w:rPr>
      <w:b/>
      <w:bCs/>
    </w:rPr>
  </w:style>
  <w:style w:type="character" w:customStyle="1" w:styleId="Cmsor6Char">
    <w:name w:val="Címsor 6 Char"/>
    <w:link w:val="Cmsor6"/>
    <w:uiPriority w:val="9"/>
    <w:semiHidden/>
    <w:rPr>
      <w:rFonts w:ascii="Calibri" w:eastAsia="Times New Roman" w:hAnsi="Calibri" w:cs="Times New Roman"/>
      <w:b/>
      <w:bCs/>
      <w:sz w:val="22"/>
      <w:szCs w:val="22"/>
      <w:lang w:val="hu-HU"/>
    </w:rPr>
  </w:style>
  <w:style w:type="paragraph" w:styleId="Vltozat">
    <w:name w:val="Revision"/>
    <w:hidden/>
    <w:uiPriority w:val="99"/>
    <w:semiHidden/>
  </w:style>
  <w:style w:type="paragraph" w:customStyle="1" w:styleId="DefaultText">
    <w:name w:val="Default Text"/>
    <w:basedOn w:val="Norml"/>
    <w:pPr>
      <w:overflowPunct w:val="0"/>
      <w:autoSpaceDE w:val="0"/>
      <w:autoSpaceDN w:val="0"/>
      <w:adjustRightInd w:val="0"/>
      <w:textAlignment w:val="baseline"/>
    </w:pPr>
    <w:rPr>
      <w:rFonts w:ascii="Arial" w:hAnsi="Arial"/>
      <w:color w:val="000000"/>
      <w:sz w:val="22"/>
      <w:lang w:val="en-US" w:eastAsia="en-US"/>
    </w:rPr>
  </w:style>
  <w:style w:type="character" w:customStyle="1" w:styleId="apple-converted-space">
    <w:name w:val="apple-converted-space"/>
    <w:basedOn w:val="Bekezdsalapbettpusa"/>
  </w:style>
  <w:style w:type="character" w:styleId="Kiemels2">
    <w:name w:val="Strong"/>
    <w:uiPriority w:val="22"/>
    <w:qFormat/>
    <w:rPr>
      <w:b/>
      <w:bCs/>
    </w:rPr>
  </w:style>
  <w:style w:type="character" w:styleId="Hiperhivatkozs">
    <w:name w:val="Hyperlink"/>
    <w:rPr>
      <w:rFonts w:cs="Times New Roman"/>
      <w:color w:val="0000FF"/>
      <w:u w:val="single"/>
    </w:rPr>
  </w:style>
  <w:style w:type="paragraph" w:customStyle="1" w:styleId="CM1">
    <w:name w:val="CM1"/>
    <w:basedOn w:val="Norml"/>
    <w:next w:val="Norml"/>
    <w:pPr>
      <w:widowControl w:val="0"/>
      <w:suppressAutoHyphens w:val="0"/>
      <w:autoSpaceDE w:val="0"/>
      <w:autoSpaceDN w:val="0"/>
      <w:adjustRightInd w:val="0"/>
      <w:spacing w:line="413" w:lineRule="atLeast"/>
    </w:pPr>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66527">
      <w:bodyDiv w:val="1"/>
      <w:marLeft w:val="0"/>
      <w:marRight w:val="0"/>
      <w:marTop w:val="0"/>
      <w:marBottom w:val="0"/>
      <w:divBdr>
        <w:top w:val="none" w:sz="0" w:space="0" w:color="auto"/>
        <w:left w:val="none" w:sz="0" w:space="0" w:color="auto"/>
        <w:bottom w:val="none" w:sz="0" w:space="0" w:color="auto"/>
        <w:right w:val="none" w:sz="0" w:space="0" w:color="auto"/>
      </w:divBdr>
    </w:div>
    <w:div w:id="509608669">
      <w:bodyDiv w:val="1"/>
      <w:marLeft w:val="0"/>
      <w:marRight w:val="0"/>
      <w:marTop w:val="0"/>
      <w:marBottom w:val="0"/>
      <w:divBdr>
        <w:top w:val="none" w:sz="0" w:space="0" w:color="auto"/>
        <w:left w:val="none" w:sz="0" w:space="0" w:color="auto"/>
        <w:bottom w:val="none" w:sz="0" w:space="0" w:color="auto"/>
        <w:right w:val="none" w:sz="0" w:space="0" w:color="auto"/>
      </w:divBdr>
      <w:divsChild>
        <w:div w:id="439423225">
          <w:marLeft w:val="0"/>
          <w:marRight w:val="0"/>
          <w:marTop w:val="0"/>
          <w:marBottom w:val="0"/>
          <w:divBdr>
            <w:top w:val="none" w:sz="0" w:space="0" w:color="auto"/>
            <w:left w:val="none" w:sz="0" w:space="0" w:color="auto"/>
            <w:bottom w:val="none" w:sz="0" w:space="0" w:color="auto"/>
            <w:right w:val="none" w:sz="0" w:space="0" w:color="auto"/>
          </w:divBdr>
        </w:div>
        <w:div w:id="769468696">
          <w:marLeft w:val="0"/>
          <w:marRight w:val="0"/>
          <w:marTop w:val="0"/>
          <w:marBottom w:val="0"/>
          <w:divBdr>
            <w:top w:val="none" w:sz="0" w:space="0" w:color="auto"/>
            <w:left w:val="none" w:sz="0" w:space="0" w:color="auto"/>
            <w:bottom w:val="none" w:sz="0" w:space="0" w:color="auto"/>
            <w:right w:val="none" w:sz="0" w:space="0" w:color="auto"/>
          </w:divBdr>
        </w:div>
      </w:divsChild>
    </w:div>
    <w:div w:id="512452675">
      <w:bodyDiv w:val="1"/>
      <w:marLeft w:val="0"/>
      <w:marRight w:val="0"/>
      <w:marTop w:val="0"/>
      <w:marBottom w:val="0"/>
      <w:divBdr>
        <w:top w:val="none" w:sz="0" w:space="0" w:color="auto"/>
        <w:left w:val="none" w:sz="0" w:space="0" w:color="auto"/>
        <w:bottom w:val="none" w:sz="0" w:space="0" w:color="auto"/>
        <w:right w:val="none" w:sz="0" w:space="0" w:color="auto"/>
      </w:divBdr>
      <w:divsChild>
        <w:div w:id="339889242">
          <w:marLeft w:val="0"/>
          <w:marRight w:val="0"/>
          <w:marTop w:val="0"/>
          <w:marBottom w:val="0"/>
          <w:divBdr>
            <w:top w:val="none" w:sz="0" w:space="0" w:color="auto"/>
            <w:left w:val="none" w:sz="0" w:space="0" w:color="auto"/>
            <w:bottom w:val="none" w:sz="0" w:space="0" w:color="auto"/>
            <w:right w:val="none" w:sz="0" w:space="0" w:color="auto"/>
          </w:divBdr>
        </w:div>
        <w:div w:id="1152870294">
          <w:marLeft w:val="0"/>
          <w:marRight w:val="0"/>
          <w:marTop w:val="0"/>
          <w:marBottom w:val="0"/>
          <w:divBdr>
            <w:top w:val="none" w:sz="0" w:space="0" w:color="auto"/>
            <w:left w:val="none" w:sz="0" w:space="0" w:color="auto"/>
            <w:bottom w:val="none" w:sz="0" w:space="0" w:color="auto"/>
            <w:right w:val="none" w:sz="0" w:space="0" w:color="auto"/>
          </w:divBdr>
        </w:div>
      </w:divsChild>
    </w:div>
    <w:div w:id="994141983">
      <w:bodyDiv w:val="1"/>
      <w:marLeft w:val="0"/>
      <w:marRight w:val="0"/>
      <w:marTop w:val="0"/>
      <w:marBottom w:val="0"/>
      <w:divBdr>
        <w:top w:val="none" w:sz="0" w:space="0" w:color="auto"/>
        <w:left w:val="none" w:sz="0" w:space="0" w:color="auto"/>
        <w:bottom w:val="none" w:sz="0" w:space="0" w:color="auto"/>
        <w:right w:val="none" w:sz="0" w:space="0" w:color="auto"/>
      </w:divBdr>
    </w:div>
    <w:div w:id="19451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A7805-42B5-4C7C-A698-751896F0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21</Pages>
  <Words>7887</Words>
  <Characters>54422</Characters>
  <Application>Microsoft Office Word</Application>
  <DocSecurity>0</DocSecurity>
  <Lines>453</Lines>
  <Paragraphs>124</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OGYI fejléces papír</vt:lpstr>
      <vt:lpstr>OGYI fejléces papír</vt:lpstr>
      <vt:lpstr>OGYI fejléces papír</vt:lpstr>
    </vt:vector>
  </TitlesOfParts>
  <Company>OGYI</Company>
  <LinksUpToDate>false</LinksUpToDate>
  <CharactersWithSpaces>62185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OGYI fejléces papír</dc:title>
  <dc:subject>kísérőiratok</dc:subject>
  <dc:creator>TÖRO_625b</dc:creator>
  <cp:keywords/>
  <cp:lastModifiedBy>HU_NNGYK_56.1</cp:lastModifiedBy>
  <cp:revision>27</cp:revision>
  <cp:lastPrinted>2014-06-11T14:12:00Z</cp:lastPrinted>
  <dcterms:created xsi:type="dcterms:W3CDTF">2024-04-26T06:35:00Z</dcterms:created>
  <dcterms:modified xsi:type="dcterms:W3CDTF">2026-04-14T15:37:00Z</dcterms:modified>
</cp:coreProperties>
</file>