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B070B" w14:textId="77777777" w:rsidR="0088272D" w:rsidRPr="007C487A" w:rsidRDefault="0088272D" w:rsidP="0088272D">
      <w:pPr>
        <w:suppressAutoHyphens w:val="0"/>
        <w:ind w:left="567" w:hanging="567"/>
        <w:rPr>
          <w:b/>
          <w:szCs w:val="22"/>
          <w:lang w:eastAsia="ja-JP"/>
        </w:rPr>
      </w:pPr>
      <w:bookmarkStart w:id="0" w:name="_GoBack"/>
      <w:bookmarkEnd w:id="0"/>
      <w:r w:rsidRPr="007C487A">
        <w:rPr>
          <w:b/>
          <w:szCs w:val="22"/>
          <w:lang w:eastAsia="ja-JP"/>
        </w:rPr>
        <w:t>1.</w:t>
      </w:r>
      <w:r w:rsidRPr="007C487A">
        <w:rPr>
          <w:b/>
          <w:szCs w:val="22"/>
          <w:lang w:eastAsia="ja-JP"/>
        </w:rPr>
        <w:tab/>
        <w:t>A GYÓGYSZER NEVE</w:t>
      </w:r>
    </w:p>
    <w:p w14:paraId="1029E47A" w14:textId="77777777" w:rsidR="0088272D" w:rsidRPr="007C487A" w:rsidRDefault="0088272D" w:rsidP="0088272D">
      <w:pPr>
        <w:rPr>
          <w:szCs w:val="22"/>
        </w:rPr>
      </w:pPr>
    </w:p>
    <w:p w14:paraId="322EC7A1" w14:textId="77777777" w:rsidR="0088272D" w:rsidRPr="007C487A" w:rsidRDefault="0088272D" w:rsidP="0088272D">
      <w:pPr>
        <w:rPr>
          <w:szCs w:val="22"/>
        </w:rPr>
      </w:pPr>
      <w:proofErr w:type="spellStart"/>
      <w:r w:rsidRPr="007C487A">
        <w:rPr>
          <w:szCs w:val="22"/>
        </w:rPr>
        <w:t>Anexate</w:t>
      </w:r>
      <w:proofErr w:type="spellEnd"/>
      <w:r w:rsidRPr="007C487A">
        <w:rPr>
          <w:szCs w:val="22"/>
        </w:rPr>
        <w:t xml:space="preserve"> 0,1 mg/ml </w:t>
      </w:r>
      <w:proofErr w:type="spellStart"/>
      <w:r w:rsidRPr="007C487A">
        <w:rPr>
          <w:szCs w:val="22"/>
        </w:rPr>
        <w:t>oldatos</w:t>
      </w:r>
      <w:proofErr w:type="spellEnd"/>
      <w:r w:rsidRPr="007C487A">
        <w:rPr>
          <w:szCs w:val="22"/>
        </w:rPr>
        <w:t xml:space="preserve"> injekció</w:t>
      </w:r>
    </w:p>
    <w:p w14:paraId="47AD44E1" w14:textId="77777777" w:rsidR="0088272D" w:rsidRPr="007C487A" w:rsidRDefault="0088272D" w:rsidP="0088272D">
      <w:pPr>
        <w:rPr>
          <w:b/>
          <w:szCs w:val="22"/>
        </w:rPr>
      </w:pPr>
    </w:p>
    <w:p w14:paraId="5D3839F6" w14:textId="77777777" w:rsidR="0088272D" w:rsidRPr="007C487A" w:rsidRDefault="0088272D" w:rsidP="0088272D">
      <w:pPr>
        <w:rPr>
          <w:b/>
          <w:szCs w:val="22"/>
        </w:rPr>
      </w:pPr>
    </w:p>
    <w:p w14:paraId="5114847B" w14:textId="77777777" w:rsidR="0088272D" w:rsidRPr="007C487A" w:rsidRDefault="0088272D" w:rsidP="0088272D">
      <w:pPr>
        <w:numPr>
          <w:ilvl w:val="0"/>
          <w:numId w:val="1"/>
        </w:numPr>
        <w:tabs>
          <w:tab w:val="clear" w:pos="720"/>
          <w:tab w:val="num" w:pos="567"/>
        </w:tabs>
        <w:rPr>
          <w:b/>
          <w:szCs w:val="22"/>
        </w:rPr>
      </w:pPr>
      <w:r w:rsidRPr="007C487A">
        <w:rPr>
          <w:b/>
          <w:szCs w:val="22"/>
        </w:rPr>
        <w:t>MINŐSÉGI ÉS MENNYISÉGI ÖSSZETÉTEL</w:t>
      </w:r>
    </w:p>
    <w:p w14:paraId="1B2B5507" w14:textId="77777777" w:rsidR="0088272D" w:rsidRPr="007C487A" w:rsidRDefault="0088272D" w:rsidP="0088272D">
      <w:pPr>
        <w:rPr>
          <w:szCs w:val="22"/>
        </w:rPr>
      </w:pPr>
    </w:p>
    <w:p w14:paraId="6869A80F" w14:textId="295BCBBC" w:rsidR="0088272D" w:rsidRPr="007C487A" w:rsidRDefault="0088272D" w:rsidP="0088272D">
      <w:pPr>
        <w:rPr>
          <w:szCs w:val="22"/>
        </w:rPr>
      </w:pPr>
      <w:r w:rsidRPr="007C487A">
        <w:rPr>
          <w:szCs w:val="22"/>
        </w:rPr>
        <w:t>0,5</w:t>
      </w:r>
      <w:r w:rsidR="0034117B">
        <w:rPr>
          <w:szCs w:val="22"/>
        </w:rPr>
        <w:t> </w:t>
      </w:r>
      <w:r w:rsidRPr="007C487A">
        <w:rPr>
          <w:szCs w:val="22"/>
        </w:rPr>
        <w:t xml:space="preserve">mg </w:t>
      </w:r>
      <w:proofErr w:type="spellStart"/>
      <w:r w:rsidRPr="007C487A">
        <w:rPr>
          <w:szCs w:val="22"/>
        </w:rPr>
        <w:t>flumazenil</w:t>
      </w:r>
      <w:proofErr w:type="spellEnd"/>
      <w:r w:rsidRPr="007C487A">
        <w:rPr>
          <w:szCs w:val="22"/>
        </w:rPr>
        <w:t xml:space="preserve"> (5 ml-es) ampullánként, steril vizes oldatban.</w:t>
      </w:r>
    </w:p>
    <w:p w14:paraId="38614255" w14:textId="77777777" w:rsidR="0088272D" w:rsidRPr="007C487A" w:rsidRDefault="0088272D" w:rsidP="0088272D">
      <w:pPr>
        <w:rPr>
          <w:szCs w:val="22"/>
        </w:rPr>
      </w:pPr>
    </w:p>
    <w:p w14:paraId="063A8C87" w14:textId="77777777" w:rsidR="0088272D" w:rsidRPr="007C487A" w:rsidRDefault="0088272D" w:rsidP="0088272D">
      <w:pPr>
        <w:rPr>
          <w:szCs w:val="22"/>
        </w:rPr>
      </w:pPr>
      <w:r w:rsidRPr="007C487A">
        <w:rPr>
          <w:szCs w:val="22"/>
        </w:rPr>
        <w:t>A segédanyagok teljes listáját lásd a 6.1 pontban.</w:t>
      </w:r>
    </w:p>
    <w:p w14:paraId="0F2DBBC3" w14:textId="77777777" w:rsidR="0088272D" w:rsidRPr="007C487A" w:rsidRDefault="0088272D" w:rsidP="0088272D">
      <w:pPr>
        <w:rPr>
          <w:szCs w:val="22"/>
        </w:rPr>
      </w:pPr>
    </w:p>
    <w:p w14:paraId="6888DB77" w14:textId="77777777" w:rsidR="0088272D" w:rsidRPr="007C487A" w:rsidRDefault="0088272D" w:rsidP="0088272D">
      <w:pPr>
        <w:rPr>
          <w:szCs w:val="22"/>
        </w:rPr>
      </w:pPr>
    </w:p>
    <w:p w14:paraId="655843D6" w14:textId="77777777" w:rsidR="0088272D" w:rsidRPr="007C487A" w:rsidRDefault="0088272D" w:rsidP="0088272D">
      <w:pPr>
        <w:suppressAutoHyphens w:val="0"/>
        <w:ind w:left="567" w:hanging="567"/>
        <w:rPr>
          <w:b/>
          <w:szCs w:val="22"/>
          <w:lang w:eastAsia="ja-JP"/>
        </w:rPr>
      </w:pPr>
      <w:r w:rsidRPr="007C487A">
        <w:rPr>
          <w:b/>
          <w:szCs w:val="22"/>
          <w:lang w:eastAsia="ja-JP"/>
        </w:rPr>
        <w:t>3.</w:t>
      </w:r>
      <w:r w:rsidRPr="007C487A">
        <w:rPr>
          <w:b/>
          <w:szCs w:val="22"/>
          <w:lang w:eastAsia="ja-JP"/>
        </w:rPr>
        <w:tab/>
        <w:t>GYÓGYSZERFORMA</w:t>
      </w:r>
    </w:p>
    <w:p w14:paraId="062F6042" w14:textId="77777777" w:rsidR="0088272D" w:rsidRPr="007C487A" w:rsidRDefault="0088272D" w:rsidP="0088272D">
      <w:pPr>
        <w:rPr>
          <w:szCs w:val="22"/>
        </w:rPr>
      </w:pPr>
    </w:p>
    <w:p w14:paraId="628C6C96" w14:textId="77777777" w:rsidR="0088272D" w:rsidRPr="007C487A" w:rsidRDefault="0088272D" w:rsidP="0088272D">
      <w:pPr>
        <w:rPr>
          <w:szCs w:val="22"/>
        </w:rPr>
      </w:pPr>
      <w:r w:rsidRPr="007C487A">
        <w:rPr>
          <w:szCs w:val="22"/>
        </w:rPr>
        <w:t>Injekció</w:t>
      </w:r>
    </w:p>
    <w:p w14:paraId="402EA191" w14:textId="77777777" w:rsidR="0088272D" w:rsidRPr="007C487A" w:rsidRDefault="0088272D" w:rsidP="0088272D">
      <w:pPr>
        <w:rPr>
          <w:szCs w:val="22"/>
        </w:rPr>
      </w:pPr>
      <w:r w:rsidRPr="007C487A">
        <w:rPr>
          <w:szCs w:val="22"/>
        </w:rPr>
        <w:t>Színtelen vagy csaknem színtelen, részecskéktől mentes, tiszta steril vizes oldat.</w:t>
      </w:r>
    </w:p>
    <w:p w14:paraId="57F900CE" w14:textId="77777777" w:rsidR="0088272D" w:rsidRPr="007C487A" w:rsidRDefault="0088272D" w:rsidP="0088272D">
      <w:pPr>
        <w:rPr>
          <w:szCs w:val="22"/>
        </w:rPr>
      </w:pPr>
    </w:p>
    <w:p w14:paraId="06A0C378" w14:textId="77777777" w:rsidR="0088272D" w:rsidRPr="007C487A" w:rsidRDefault="0088272D" w:rsidP="0088272D">
      <w:pPr>
        <w:suppressAutoHyphens w:val="0"/>
        <w:ind w:left="567" w:hanging="567"/>
        <w:rPr>
          <w:b/>
          <w:caps/>
          <w:szCs w:val="22"/>
          <w:lang w:eastAsia="ja-JP"/>
        </w:rPr>
      </w:pPr>
    </w:p>
    <w:p w14:paraId="607783E5" w14:textId="77777777" w:rsidR="0088272D" w:rsidRPr="007C487A" w:rsidRDefault="0088272D" w:rsidP="0088272D">
      <w:pPr>
        <w:suppressAutoHyphens w:val="0"/>
        <w:ind w:left="567" w:hanging="567"/>
        <w:rPr>
          <w:b/>
          <w:caps/>
          <w:szCs w:val="22"/>
          <w:lang w:eastAsia="ja-JP"/>
        </w:rPr>
      </w:pPr>
      <w:r w:rsidRPr="007C487A">
        <w:rPr>
          <w:b/>
          <w:caps/>
          <w:szCs w:val="22"/>
          <w:lang w:eastAsia="ja-JP"/>
        </w:rPr>
        <w:t>4.</w:t>
      </w:r>
      <w:r w:rsidRPr="007C487A">
        <w:rPr>
          <w:b/>
          <w:caps/>
          <w:szCs w:val="22"/>
          <w:lang w:eastAsia="ja-JP"/>
        </w:rPr>
        <w:tab/>
        <w:t>KLINIKAI JELLEMZŐK</w:t>
      </w:r>
    </w:p>
    <w:p w14:paraId="640BD5F6" w14:textId="77777777" w:rsidR="0088272D" w:rsidRPr="007C487A" w:rsidRDefault="0088272D" w:rsidP="0088272D">
      <w:pPr>
        <w:suppressAutoHyphens w:val="0"/>
        <w:ind w:left="567" w:hanging="567"/>
        <w:rPr>
          <w:b/>
          <w:caps/>
          <w:szCs w:val="22"/>
          <w:lang w:eastAsia="ja-JP"/>
        </w:rPr>
      </w:pPr>
    </w:p>
    <w:p w14:paraId="351C1C2E" w14:textId="77777777" w:rsidR="0088272D" w:rsidRPr="007C487A" w:rsidRDefault="0088272D" w:rsidP="0088272D">
      <w:pPr>
        <w:suppressAutoHyphens w:val="0"/>
        <w:ind w:left="567" w:hanging="567"/>
        <w:rPr>
          <w:b/>
          <w:szCs w:val="22"/>
          <w:lang w:eastAsia="ja-JP"/>
        </w:rPr>
      </w:pPr>
      <w:r w:rsidRPr="007C487A">
        <w:rPr>
          <w:b/>
          <w:szCs w:val="22"/>
          <w:lang w:eastAsia="ja-JP"/>
        </w:rPr>
        <w:t>4.1</w:t>
      </w:r>
      <w:r w:rsidRPr="007C487A">
        <w:rPr>
          <w:b/>
          <w:szCs w:val="22"/>
          <w:lang w:eastAsia="ja-JP"/>
        </w:rPr>
        <w:tab/>
        <w:t>Terápiás javallatok</w:t>
      </w:r>
    </w:p>
    <w:p w14:paraId="1271D413" w14:textId="77777777" w:rsidR="0088272D" w:rsidRPr="007C487A" w:rsidRDefault="0088272D" w:rsidP="0088272D">
      <w:pPr>
        <w:rPr>
          <w:b/>
          <w:szCs w:val="22"/>
        </w:rPr>
      </w:pPr>
    </w:p>
    <w:p w14:paraId="33E19BB1" w14:textId="77777777" w:rsidR="0088272D" w:rsidRPr="007C487A" w:rsidRDefault="0088272D" w:rsidP="0088272D">
      <w:pPr>
        <w:rPr>
          <w:szCs w:val="22"/>
        </w:rPr>
      </w:pPr>
      <w:proofErr w:type="spellStart"/>
      <w:r w:rsidRPr="007C487A">
        <w:rPr>
          <w:szCs w:val="22"/>
        </w:rPr>
        <w:t>Benzodiazepinek</w:t>
      </w:r>
      <w:proofErr w:type="spellEnd"/>
      <w:r w:rsidRPr="007C487A">
        <w:rPr>
          <w:szCs w:val="22"/>
        </w:rPr>
        <w:t xml:space="preserve"> központi </w:t>
      </w:r>
      <w:proofErr w:type="spellStart"/>
      <w:r w:rsidRPr="007C487A">
        <w:rPr>
          <w:szCs w:val="22"/>
        </w:rPr>
        <w:t>szedatív</w:t>
      </w:r>
      <w:proofErr w:type="spellEnd"/>
      <w:r w:rsidRPr="007C487A">
        <w:rPr>
          <w:szCs w:val="22"/>
        </w:rPr>
        <w:t xml:space="preserve"> hatásainak teljes vagy részleges megszüntetésére.</w:t>
      </w:r>
    </w:p>
    <w:p w14:paraId="711EB761" w14:textId="77777777" w:rsidR="0088272D" w:rsidRPr="007C487A" w:rsidRDefault="0088272D" w:rsidP="0088272D">
      <w:pPr>
        <w:rPr>
          <w:i/>
          <w:szCs w:val="22"/>
        </w:rPr>
      </w:pPr>
    </w:p>
    <w:p w14:paraId="426DFB86" w14:textId="77777777" w:rsidR="0088272D" w:rsidRPr="007C487A" w:rsidRDefault="0088272D" w:rsidP="0088272D">
      <w:pPr>
        <w:rPr>
          <w:szCs w:val="22"/>
        </w:rPr>
      </w:pPr>
      <w:r w:rsidRPr="007C487A">
        <w:rPr>
          <w:szCs w:val="22"/>
        </w:rPr>
        <w:t xml:space="preserve">I évesnél idősebb gyermekek </w:t>
      </w:r>
      <w:proofErr w:type="spellStart"/>
      <w:r w:rsidRPr="007C487A">
        <w:rPr>
          <w:szCs w:val="22"/>
        </w:rPr>
        <w:t>benzodiazepinekkel</w:t>
      </w:r>
      <w:proofErr w:type="spellEnd"/>
      <w:r w:rsidRPr="007C487A">
        <w:rPr>
          <w:szCs w:val="22"/>
        </w:rPr>
        <w:t xml:space="preserve"> előidézett </w:t>
      </w:r>
      <w:proofErr w:type="spellStart"/>
      <w:r w:rsidRPr="007C487A">
        <w:rPr>
          <w:szCs w:val="22"/>
        </w:rPr>
        <w:t>szedált</w:t>
      </w:r>
      <w:proofErr w:type="spellEnd"/>
      <w:r w:rsidRPr="007C487A">
        <w:rPr>
          <w:szCs w:val="22"/>
        </w:rPr>
        <w:t xml:space="preserve"> állapotának megszüntetésére.</w:t>
      </w:r>
    </w:p>
    <w:p w14:paraId="1057241E" w14:textId="77777777" w:rsidR="0088272D" w:rsidRPr="007C487A" w:rsidRDefault="0088272D" w:rsidP="0088272D">
      <w:pPr>
        <w:rPr>
          <w:i/>
          <w:szCs w:val="22"/>
        </w:rPr>
      </w:pPr>
    </w:p>
    <w:p w14:paraId="7A113D9B" w14:textId="77777777" w:rsidR="0088272D" w:rsidRPr="007C487A" w:rsidRDefault="0088272D" w:rsidP="0088272D">
      <w:pPr>
        <w:rPr>
          <w:b/>
          <w:i/>
          <w:szCs w:val="22"/>
        </w:rPr>
      </w:pPr>
      <w:proofErr w:type="spellStart"/>
      <w:r w:rsidRPr="007C487A">
        <w:rPr>
          <w:b/>
          <w:i/>
          <w:szCs w:val="22"/>
        </w:rPr>
        <w:t>Anaesthesiologia</w:t>
      </w:r>
      <w:proofErr w:type="spellEnd"/>
    </w:p>
    <w:p w14:paraId="027551AF" w14:textId="77777777" w:rsidR="0088272D" w:rsidRPr="007C487A" w:rsidRDefault="0088272D" w:rsidP="0088272D">
      <w:pPr>
        <w:pStyle w:val="Szvegtrzs"/>
        <w:spacing w:line="240" w:lineRule="auto"/>
        <w:rPr>
          <w:sz w:val="22"/>
          <w:szCs w:val="22"/>
          <w:lang w:val="hu-HU"/>
        </w:rPr>
      </w:pPr>
      <w:proofErr w:type="spellStart"/>
      <w:r w:rsidRPr="007C487A">
        <w:rPr>
          <w:sz w:val="22"/>
          <w:szCs w:val="22"/>
          <w:lang w:val="hu-HU"/>
        </w:rPr>
        <w:t>Benzodiazepinekkel</w:t>
      </w:r>
      <w:proofErr w:type="spellEnd"/>
      <w:r w:rsidRPr="007C487A">
        <w:rPr>
          <w:sz w:val="22"/>
          <w:szCs w:val="22"/>
          <w:lang w:val="hu-HU"/>
        </w:rPr>
        <w:t xml:space="preserve"> bevezetett és fenntartott általános </w:t>
      </w:r>
      <w:proofErr w:type="spellStart"/>
      <w:r w:rsidRPr="007C487A">
        <w:rPr>
          <w:sz w:val="22"/>
          <w:szCs w:val="22"/>
          <w:lang w:val="hu-HU"/>
        </w:rPr>
        <w:t>anaesthesia</w:t>
      </w:r>
      <w:proofErr w:type="spellEnd"/>
      <w:r w:rsidRPr="007C487A">
        <w:rPr>
          <w:sz w:val="22"/>
          <w:szCs w:val="22"/>
          <w:lang w:val="hu-HU"/>
        </w:rPr>
        <w:t xml:space="preserve"> felfüggesztése kórházban fekvő betegekben.</w:t>
      </w:r>
    </w:p>
    <w:p w14:paraId="69CB491D" w14:textId="77777777" w:rsidR="0088272D" w:rsidRPr="007C487A" w:rsidRDefault="0088272D" w:rsidP="0088272D">
      <w:pPr>
        <w:pStyle w:val="Szvegtrzs"/>
        <w:spacing w:line="240" w:lineRule="auto"/>
        <w:rPr>
          <w:sz w:val="22"/>
          <w:szCs w:val="22"/>
          <w:lang w:val="hu-HU"/>
        </w:rPr>
      </w:pPr>
      <w:r w:rsidRPr="007C487A">
        <w:rPr>
          <w:sz w:val="22"/>
          <w:szCs w:val="22"/>
          <w:lang w:val="hu-HU"/>
        </w:rPr>
        <w:t xml:space="preserve">Rövid diagnosztikai vagy terápiás beavatkozásokban </w:t>
      </w:r>
      <w:proofErr w:type="spellStart"/>
      <w:r w:rsidRPr="007C487A">
        <w:rPr>
          <w:sz w:val="22"/>
          <w:szCs w:val="22"/>
          <w:lang w:val="hu-HU"/>
        </w:rPr>
        <w:t>benzodiazepinekkel</w:t>
      </w:r>
      <w:proofErr w:type="spellEnd"/>
      <w:r w:rsidRPr="007C487A">
        <w:rPr>
          <w:sz w:val="22"/>
          <w:szCs w:val="22"/>
          <w:lang w:val="hu-HU"/>
        </w:rPr>
        <w:t xml:space="preserve"> létrehozott nyugtató hatás megszüntetése, kórházban fekvő vagy ambuláns betegekben.</w:t>
      </w:r>
    </w:p>
    <w:p w14:paraId="36C0D3A0" w14:textId="77777777" w:rsidR="0088272D" w:rsidRPr="007C487A" w:rsidRDefault="0088272D" w:rsidP="0088272D">
      <w:pPr>
        <w:rPr>
          <w:i/>
          <w:szCs w:val="22"/>
        </w:rPr>
      </w:pPr>
    </w:p>
    <w:p w14:paraId="1E8375CC" w14:textId="77777777" w:rsidR="0088272D" w:rsidRPr="007C487A" w:rsidRDefault="0088272D" w:rsidP="0088272D">
      <w:pPr>
        <w:rPr>
          <w:b/>
          <w:i/>
          <w:szCs w:val="22"/>
        </w:rPr>
      </w:pPr>
      <w:r w:rsidRPr="007C487A">
        <w:rPr>
          <w:b/>
          <w:i/>
          <w:szCs w:val="22"/>
        </w:rPr>
        <w:t>Intenzív betegellátás, valamint ismeretlen eredetű eszméletlen állapot kezelése</w:t>
      </w:r>
    </w:p>
    <w:p w14:paraId="344AD054" w14:textId="77777777" w:rsidR="0088272D" w:rsidRPr="007C487A" w:rsidRDefault="0088272D" w:rsidP="0088272D">
      <w:pPr>
        <w:rPr>
          <w:szCs w:val="22"/>
        </w:rPr>
      </w:pPr>
      <w:proofErr w:type="spellStart"/>
      <w:r w:rsidRPr="007C487A">
        <w:rPr>
          <w:szCs w:val="22"/>
        </w:rPr>
        <w:t>Benzodiazepin</w:t>
      </w:r>
      <w:proofErr w:type="spellEnd"/>
      <w:r w:rsidRPr="007C487A">
        <w:rPr>
          <w:szCs w:val="22"/>
        </w:rPr>
        <w:t xml:space="preserve"> mérgezések diagnosztizálása vagy kizárása. </w:t>
      </w:r>
    </w:p>
    <w:p w14:paraId="3526E95A" w14:textId="77777777" w:rsidR="0088272D" w:rsidRPr="007C487A" w:rsidRDefault="0088272D" w:rsidP="0088272D">
      <w:pPr>
        <w:rPr>
          <w:szCs w:val="22"/>
        </w:rPr>
      </w:pPr>
      <w:proofErr w:type="spellStart"/>
      <w:r w:rsidRPr="007C487A">
        <w:rPr>
          <w:szCs w:val="22"/>
        </w:rPr>
        <w:t>Benzodiazepin</w:t>
      </w:r>
      <w:proofErr w:type="spellEnd"/>
      <w:r w:rsidRPr="007C487A">
        <w:rPr>
          <w:szCs w:val="22"/>
        </w:rPr>
        <w:t xml:space="preserve"> túladagolás esetén specifikusan felfüggeszti annak központi idegrendszeri hatásait - a spontán légzés és öntudat visszatér - a szükségtelen </w:t>
      </w:r>
      <w:proofErr w:type="spellStart"/>
      <w:r w:rsidRPr="007C487A">
        <w:rPr>
          <w:szCs w:val="22"/>
        </w:rPr>
        <w:t>intubálás</w:t>
      </w:r>
      <w:proofErr w:type="spellEnd"/>
      <w:r w:rsidRPr="007C487A">
        <w:rPr>
          <w:szCs w:val="22"/>
        </w:rPr>
        <w:t xml:space="preserve"> elkerülhető, ill. lehetséges az </w:t>
      </w:r>
      <w:proofErr w:type="spellStart"/>
      <w:r w:rsidRPr="007C487A">
        <w:rPr>
          <w:szCs w:val="22"/>
        </w:rPr>
        <w:t>extubálás</w:t>
      </w:r>
      <w:proofErr w:type="spellEnd"/>
      <w:r w:rsidRPr="007C487A">
        <w:rPr>
          <w:szCs w:val="22"/>
        </w:rPr>
        <w:t>.</w:t>
      </w:r>
    </w:p>
    <w:p w14:paraId="30D2FC6F" w14:textId="77777777" w:rsidR="0088272D" w:rsidRPr="007C487A" w:rsidRDefault="0088272D" w:rsidP="0088272D">
      <w:pPr>
        <w:rPr>
          <w:szCs w:val="22"/>
        </w:rPr>
      </w:pPr>
    </w:p>
    <w:p w14:paraId="292B06E4" w14:textId="77777777" w:rsidR="0088272D" w:rsidRPr="007C487A" w:rsidRDefault="0088272D" w:rsidP="0088272D">
      <w:pPr>
        <w:suppressAutoHyphens w:val="0"/>
        <w:ind w:left="567" w:hanging="567"/>
        <w:rPr>
          <w:b/>
          <w:szCs w:val="22"/>
          <w:lang w:eastAsia="ja-JP"/>
        </w:rPr>
      </w:pPr>
      <w:bookmarkStart w:id="1" w:name="OLE_LINK1"/>
      <w:bookmarkStart w:id="2" w:name="OLE_LINK2"/>
      <w:r w:rsidRPr="007C487A">
        <w:rPr>
          <w:b/>
          <w:szCs w:val="22"/>
          <w:lang w:eastAsia="ja-JP"/>
        </w:rPr>
        <w:t>4.2</w:t>
      </w:r>
      <w:r w:rsidRPr="007C487A">
        <w:rPr>
          <w:b/>
          <w:szCs w:val="22"/>
          <w:lang w:eastAsia="ja-JP"/>
        </w:rPr>
        <w:tab/>
        <w:t>Adagolás és alkalmazás</w:t>
      </w:r>
    </w:p>
    <w:bookmarkEnd w:id="1"/>
    <w:bookmarkEnd w:id="2"/>
    <w:p w14:paraId="72B42720" w14:textId="77777777" w:rsidR="0088272D" w:rsidRPr="007C487A" w:rsidRDefault="0088272D" w:rsidP="0088272D">
      <w:pPr>
        <w:rPr>
          <w:szCs w:val="22"/>
        </w:rPr>
      </w:pPr>
    </w:p>
    <w:p w14:paraId="044DEFB7" w14:textId="77777777" w:rsidR="0088272D" w:rsidRPr="007C487A" w:rsidRDefault="0088272D" w:rsidP="0088272D">
      <w:pPr>
        <w:rPr>
          <w:szCs w:val="22"/>
        </w:rPr>
      </w:pPr>
      <w:r w:rsidRPr="007C487A">
        <w:rPr>
          <w:szCs w:val="22"/>
        </w:rPr>
        <w:t xml:space="preserve">Az </w:t>
      </w:r>
      <w:proofErr w:type="spellStart"/>
      <w:r w:rsidRPr="007C487A">
        <w:rPr>
          <w:szCs w:val="22"/>
        </w:rPr>
        <w:t>Anexate</w:t>
      </w:r>
      <w:proofErr w:type="spellEnd"/>
      <w:r w:rsidRPr="007C487A">
        <w:rPr>
          <w:szCs w:val="22"/>
        </w:rPr>
        <w:t xml:space="preserve"> kizárólag intravénásan (injekció, vagy infúzió formájában) alkalmazható. Kizárólag aneszteziológus vagy </w:t>
      </w:r>
      <w:proofErr w:type="spellStart"/>
      <w:r w:rsidRPr="007C487A">
        <w:rPr>
          <w:szCs w:val="22"/>
        </w:rPr>
        <w:t>aneszteziológiában</w:t>
      </w:r>
      <w:proofErr w:type="spellEnd"/>
      <w:r w:rsidRPr="007C487A">
        <w:rPr>
          <w:szCs w:val="22"/>
        </w:rPr>
        <w:t xml:space="preserve"> jártas orvos adhatja be. Hígítás nélkül vagy hígítva is alkalmazható.</w:t>
      </w:r>
    </w:p>
    <w:p w14:paraId="3CF1E0F9" w14:textId="77777777" w:rsidR="0088272D" w:rsidRPr="007C487A" w:rsidRDefault="0088272D" w:rsidP="0088272D">
      <w:pPr>
        <w:rPr>
          <w:szCs w:val="22"/>
        </w:rPr>
      </w:pPr>
    </w:p>
    <w:p w14:paraId="265091B7" w14:textId="77777777" w:rsidR="0088272D" w:rsidRPr="007C487A" w:rsidRDefault="0088272D" w:rsidP="0088272D">
      <w:pPr>
        <w:rPr>
          <w:szCs w:val="22"/>
        </w:rPr>
      </w:pPr>
      <w:r w:rsidRPr="007C487A">
        <w:rPr>
          <w:szCs w:val="22"/>
        </w:rPr>
        <w:t>A hígítására vonatkozó utasításokat lásd a 6.6 pontban.</w:t>
      </w:r>
    </w:p>
    <w:p w14:paraId="7BF2EA7A" w14:textId="77777777" w:rsidR="0088272D" w:rsidRPr="007C487A" w:rsidRDefault="0088272D" w:rsidP="0088272D">
      <w:pPr>
        <w:rPr>
          <w:szCs w:val="22"/>
        </w:rPr>
      </w:pPr>
    </w:p>
    <w:p w14:paraId="311A31B9" w14:textId="77777777" w:rsidR="0088272D" w:rsidRPr="007C487A" w:rsidRDefault="0088272D" w:rsidP="0088272D">
      <w:pPr>
        <w:rPr>
          <w:szCs w:val="22"/>
        </w:rPr>
      </w:pPr>
      <w:r w:rsidRPr="007C487A">
        <w:rPr>
          <w:szCs w:val="22"/>
        </w:rPr>
        <w:t xml:space="preserve">Az adagot titrálni kell a kívánt hatás elérése céljából. Minthogy egyes </w:t>
      </w:r>
      <w:proofErr w:type="spellStart"/>
      <w:r w:rsidRPr="007C487A">
        <w:rPr>
          <w:szCs w:val="22"/>
        </w:rPr>
        <w:t>benzodiazepinek</w:t>
      </w:r>
      <w:proofErr w:type="spellEnd"/>
      <w:r w:rsidRPr="007C487A">
        <w:rPr>
          <w:szCs w:val="22"/>
        </w:rPr>
        <w:t xml:space="preserve"> hatástartama hosszabb lehet, mint az </w:t>
      </w:r>
      <w:proofErr w:type="spellStart"/>
      <w:r w:rsidRPr="007C487A">
        <w:rPr>
          <w:szCs w:val="22"/>
        </w:rPr>
        <w:t>Anexate</w:t>
      </w:r>
      <w:proofErr w:type="spellEnd"/>
      <w:r w:rsidRPr="007C487A">
        <w:rPr>
          <w:szCs w:val="22"/>
        </w:rPr>
        <w:t xml:space="preserve">-é, ismételt adagok lehetnek szükségesek, ha a </w:t>
      </w:r>
      <w:proofErr w:type="spellStart"/>
      <w:r w:rsidRPr="007C487A">
        <w:rPr>
          <w:szCs w:val="22"/>
        </w:rPr>
        <w:t>szedált</w:t>
      </w:r>
      <w:proofErr w:type="spellEnd"/>
      <w:r w:rsidRPr="007C487A">
        <w:rPr>
          <w:szCs w:val="22"/>
        </w:rPr>
        <w:t xml:space="preserve"> állapot visszatér.</w:t>
      </w:r>
    </w:p>
    <w:p w14:paraId="54F25328" w14:textId="77777777" w:rsidR="0088272D" w:rsidRPr="007C487A" w:rsidRDefault="0088272D" w:rsidP="0088272D">
      <w:pPr>
        <w:rPr>
          <w:szCs w:val="22"/>
        </w:rPr>
      </w:pPr>
    </w:p>
    <w:p w14:paraId="6F6D1446" w14:textId="77777777" w:rsidR="0088272D" w:rsidRPr="007C487A" w:rsidRDefault="0088272D" w:rsidP="0088272D">
      <w:pPr>
        <w:rPr>
          <w:szCs w:val="22"/>
        </w:rPr>
      </w:pPr>
      <w:r w:rsidRPr="007C487A">
        <w:rPr>
          <w:szCs w:val="22"/>
        </w:rPr>
        <w:t xml:space="preserve">Az </w:t>
      </w:r>
      <w:proofErr w:type="spellStart"/>
      <w:r w:rsidRPr="007C487A">
        <w:rPr>
          <w:szCs w:val="22"/>
        </w:rPr>
        <w:t>Anexate</w:t>
      </w:r>
      <w:proofErr w:type="spellEnd"/>
      <w:r w:rsidRPr="007C487A">
        <w:rPr>
          <w:szCs w:val="22"/>
        </w:rPr>
        <w:t xml:space="preserve"> az ébresztés vagy </w:t>
      </w:r>
      <w:proofErr w:type="spellStart"/>
      <w:r w:rsidRPr="007C487A">
        <w:rPr>
          <w:szCs w:val="22"/>
        </w:rPr>
        <w:t>újraélesztés</w:t>
      </w:r>
      <w:proofErr w:type="spellEnd"/>
      <w:r w:rsidRPr="007C487A">
        <w:rPr>
          <w:szCs w:val="22"/>
        </w:rPr>
        <w:t xml:space="preserve"> során alkalmazott egyéb gyógyszerekkel együtt alkalmazható.</w:t>
      </w:r>
    </w:p>
    <w:p w14:paraId="46AFAD1A" w14:textId="77777777" w:rsidR="0088272D" w:rsidRPr="007C487A" w:rsidRDefault="0088272D" w:rsidP="0088272D">
      <w:pPr>
        <w:rPr>
          <w:szCs w:val="22"/>
        </w:rPr>
      </w:pPr>
    </w:p>
    <w:p w14:paraId="5C909908" w14:textId="77777777" w:rsidR="0088272D" w:rsidRPr="007C487A" w:rsidRDefault="0088272D" w:rsidP="0088272D">
      <w:pPr>
        <w:rPr>
          <w:b/>
          <w:szCs w:val="22"/>
          <w:u w:val="single"/>
        </w:rPr>
      </w:pPr>
      <w:r w:rsidRPr="007C487A">
        <w:rPr>
          <w:b/>
          <w:szCs w:val="22"/>
          <w:u w:val="single"/>
        </w:rPr>
        <w:t>Felnőttek</w:t>
      </w:r>
      <w:r w:rsidRPr="007C487A">
        <w:rPr>
          <w:b/>
          <w:szCs w:val="22"/>
        </w:rPr>
        <w:t>:</w:t>
      </w:r>
    </w:p>
    <w:p w14:paraId="324BB8E6" w14:textId="3FA78493" w:rsidR="0088272D" w:rsidRPr="007C487A" w:rsidRDefault="0088272D" w:rsidP="0088272D">
      <w:pPr>
        <w:rPr>
          <w:szCs w:val="22"/>
        </w:rPr>
      </w:pPr>
      <w:proofErr w:type="spellStart"/>
      <w:r w:rsidRPr="007C487A">
        <w:rPr>
          <w:i/>
          <w:szCs w:val="22"/>
        </w:rPr>
        <w:t>Anaesthesiologia</w:t>
      </w:r>
      <w:proofErr w:type="spellEnd"/>
      <w:r w:rsidRPr="007C487A">
        <w:rPr>
          <w:szCs w:val="22"/>
        </w:rPr>
        <w:t>:</w:t>
      </w:r>
      <w:r w:rsidRPr="007C487A">
        <w:rPr>
          <w:b/>
          <w:szCs w:val="22"/>
        </w:rPr>
        <w:t xml:space="preserve"> </w:t>
      </w:r>
      <w:r w:rsidRPr="007C487A">
        <w:rPr>
          <w:szCs w:val="22"/>
        </w:rPr>
        <w:t>A javasolt kezdő adag 0,2 mg (2 ml), amelyet intravénásan 15 másodperc alatt kell beadni. Amennyiben a tudat éberségi szintje 60 másodperc alatt nem tér vissza megfelelő mértékben, további 0,1 mg (1 ml) adható. Szükség esetén az adag 60 másodperces időközönként a kívánt éberségi szint elérés</w:t>
      </w:r>
      <w:r w:rsidR="00CC301A">
        <w:rPr>
          <w:szCs w:val="22"/>
        </w:rPr>
        <w:t>é</w:t>
      </w:r>
      <w:r w:rsidRPr="007C487A">
        <w:rPr>
          <w:szCs w:val="22"/>
        </w:rPr>
        <w:t xml:space="preserve">ig , legfeljebb 1,0 mg (10 ml) </w:t>
      </w:r>
      <w:proofErr w:type="spellStart"/>
      <w:r w:rsidRPr="007C487A">
        <w:rPr>
          <w:szCs w:val="22"/>
        </w:rPr>
        <w:t>összadag</w:t>
      </w:r>
      <w:proofErr w:type="spellEnd"/>
      <w:r w:rsidRPr="007C487A">
        <w:rPr>
          <w:szCs w:val="22"/>
        </w:rPr>
        <w:t xml:space="preserve"> eléréséig megismételhető. A szokásos adag 0,3-</w:t>
      </w:r>
      <w:r w:rsidRPr="007C487A">
        <w:rPr>
          <w:szCs w:val="22"/>
        </w:rPr>
        <w:lastRenderedPageBreak/>
        <w:t xml:space="preserve">0,6 mg, ez egyénileg változhat az alkalmazott </w:t>
      </w:r>
      <w:proofErr w:type="spellStart"/>
      <w:r w:rsidRPr="007C487A">
        <w:rPr>
          <w:szCs w:val="22"/>
        </w:rPr>
        <w:t>benzodiazepin</w:t>
      </w:r>
      <w:proofErr w:type="spellEnd"/>
      <w:r w:rsidRPr="007C487A">
        <w:rPr>
          <w:szCs w:val="22"/>
        </w:rPr>
        <w:t xml:space="preserve"> adagjától, hatástartamától és a betegtől függően.</w:t>
      </w:r>
    </w:p>
    <w:p w14:paraId="1E012619" w14:textId="77777777" w:rsidR="0088272D" w:rsidRPr="007C487A" w:rsidRDefault="0088272D" w:rsidP="0088272D">
      <w:pPr>
        <w:rPr>
          <w:szCs w:val="22"/>
        </w:rPr>
      </w:pPr>
      <w:r w:rsidRPr="007C487A">
        <w:rPr>
          <w:i/>
          <w:szCs w:val="22"/>
        </w:rPr>
        <w:t>Intenzív betegellátás és ismeretlen eredetű eszméletlen állapot kezelése:</w:t>
      </w:r>
      <w:r w:rsidRPr="007C487A">
        <w:rPr>
          <w:szCs w:val="22"/>
        </w:rPr>
        <w:t xml:space="preserve"> A javasolt kezdő adag 0,3 mg (3 ml) intravénásan. Amennyiben a tudat éberségi szintje 60 másodperc alatt nem tér vissza megfelelő mértékben, további 0,1 mg (1 ml) adható. Szükség esetén az adag 60 másodperces időközönként megismételhető a legfeljebb 2,0 mg (20 ml) </w:t>
      </w:r>
      <w:proofErr w:type="spellStart"/>
      <w:r w:rsidRPr="007C487A">
        <w:rPr>
          <w:szCs w:val="22"/>
        </w:rPr>
        <w:t>összadag</w:t>
      </w:r>
      <w:proofErr w:type="spellEnd"/>
      <w:r w:rsidRPr="007C487A">
        <w:rPr>
          <w:szCs w:val="22"/>
        </w:rPr>
        <w:t xml:space="preserve"> eléréséig. Visszatérő </w:t>
      </w:r>
      <w:proofErr w:type="spellStart"/>
      <w:r w:rsidRPr="007C487A">
        <w:rPr>
          <w:szCs w:val="22"/>
        </w:rPr>
        <w:t>somnolentia</w:t>
      </w:r>
      <w:proofErr w:type="spellEnd"/>
      <w:r w:rsidRPr="007C487A">
        <w:rPr>
          <w:szCs w:val="22"/>
        </w:rPr>
        <w:t xml:space="preserve"> esetén egy vagy több iv. </w:t>
      </w:r>
      <w:proofErr w:type="spellStart"/>
      <w:r w:rsidRPr="007C487A">
        <w:rPr>
          <w:szCs w:val="22"/>
        </w:rPr>
        <w:t>bolus</w:t>
      </w:r>
      <w:proofErr w:type="spellEnd"/>
      <w:r w:rsidRPr="007C487A">
        <w:rPr>
          <w:szCs w:val="22"/>
        </w:rPr>
        <w:t xml:space="preserve"> adag adható az előbbi módon, vagy óránként 0,1-0,4 mg (1-4 ml) iv. infúzióban.</w:t>
      </w:r>
    </w:p>
    <w:p w14:paraId="2D1F5F0E" w14:textId="77777777" w:rsidR="0088272D" w:rsidRPr="007C487A" w:rsidRDefault="0088272D" w:rsidP="0088272D">
      <w:pPr>
        <w:rPr>
          <w:szCs w:val="22"/>
        </w:rPr>
      </w:pPr>
      <w:r w:rsidRPr="007C487A">
        <w:rPr>
          <w:szCs w:val="22"/>
        </w:rPr>
        <w:t xml:space="preserve">Az infúzió sebességét egyénileg kell megállapítani, az ébredés kívánt mértékétől függően. Ha az öntudat vagy légzésfunkció nem javul szignifikánsan az </w:t>
      </w:r>
      <w:proofErr w:type="spellStart"/>
      <w:r w:rsidRPr="007C487A">
        <w:rPr>
          <w:szCs w:val="22"/>
        </w:rPr>
        <w:t>Anexate</w:t>
      </w:r>
      <w:proofErr w:type="spellEnd"/>
      <w:r w:rsidRPr="007C487A">
        <w:rPr>
          <w:szCs w:val="22"/>
        </w:rPr>
        <w:t xml:space="preserve"> ismételt dózisa után, feltételezhető, hogy a tüneteket nem </w:t>
      </w:r>
      <w:proofErr w:type="spellStart"/>
      <w:r w:rsidRPr="007C487A">
        <w:rPr>
          <w:szCs w:val="22"/>
        </w:rPr>
        <w:t>benzodiazepin</w:t>
      </w:r>
      <w:proofErr w:type="spellEnd"/>
      <w:r w:rsidRPr="007C487A">
        <w:rPr>
          <w:szCs w:val="22"/>
        </w:rPr>
        <w:t xml:space="preserve"> okozza.</w:t>
      </w:r>
    </w:p>
    <w:p w14:paraId="278E6AFD" w14:textId="77777777" w:rsidR="0088272D" w:rsidRPr="007C487A" w:rsidRDefault="0088272D" w:rsidP="0088272D">
      <w:pPr>
        <w:pStyle w:val="Szvegtrzs"/>
        <w:spacing w:line="240" w:lineRule="auto"/>
        <w:rPr>
          <w:sz w:val="22"/>
          <w:szCs w:val="22"/>
          <w:lang w:val="hu-HU"/>
        </w:rPr>
      </w:pPr>
    </w:p>
    <w:p w14:paraId="1DAB29A7" w14:textId="77777777" w:rsidR="0088272D" w:rsidRPr="007C487A" w:rsidRDefault="0088272D" w:rsidP="0088272D">
      <w:pPr>
        <w:pStyle w:val="Szvegtrzs"/>
        <w:spacing w:line="240" w:lineRule="auto"/>
        <w:rPr>
          <w:sz w:val="22"/>
          <w:szCs w:val="22"/>
          <w:lang w:val="hu-HU"/>
        </w:rPr>
      </w:pPr>
      <w:r w:rsidRPr="007C487A">
        <w:rPr>
          <w:sz w:val="22"/>
          <w:szCs w:val="22"/>
          <w:lang w:val="hu-HU"/>
        </w:rPr>
        <w:t xml:space="preserve">Ha az </w:t>
      </w:r>
      <w:proofErr w:type="spellStart"/>
      <w:r w:rsidRPr="007C487A">
        <w:rPr>
          <w:sz w:val="22"/>
          <w:szCs w:val="22"/>
          <w:lang w:val="hu-HU"/>
        </w:rPr>
        <w:t>Anexate</w:t>
      </w:r>
      <w:proofErr w:type="spellEnd"/>
      <w:r w:rsidRPr="007C487A">
        <w:rPr>
          <w:sz w:val="22"/>
          <w:szCs w:val="22"/>
          <w:lang w:val="hu-HU"/>
        </w:rPr>
        <w:t xml:space="preserve"> adását megelőzően a beteg már hosszabb időtartamú, vagy nagy dózisú </w:t>
      </w:r>
      <w:proofErr w:type="spellStart"/>
      <w:r w:rsidRPr="007C487A">
        <w:rPr>
          <w:sz w:val="22"/>
          <w:szCs w:val="22"/>
          <w:lang w:val="hu-HU"/>
        </w:rPr>
        <w:t>benzodiazepin</w:t>
      </w:r>
      <w:proofErr w:type="spellEnd"/>
      <w:r w:rsidRPr="007C487A">
        <w:rPr>
          <w:sz w:val="22"/>
          <w:szCs w:val="22"/>
          <w:lang w:val="hu-HU"/>
        </w:rPr>
        <w:t xml:space="preserve">-kezelésben részesült, az egyedileg titrált </w:t>
      </w:r>
      <w:proofErr w:type="spellStart"/>
      <w:r w:rsidRPr="007C487A">
        <w:rPr>
          <w:sz w:val="22"/>
          <w:szCs w:val="22"/>
          <w:lang w:val="hu-HU"/>
        </w:rPr>
        <w:t>Anexate</w:t>
      </w:r>
      <w:proofErr w:type="spellEnd"/>
      <w:r w:rsidRPr="007C487A">
        <w:rPr>
          <w:sz w:val="22"/>
          <w:szCs w:val="22"/>
          <w:lang w:val="hu-HU"/>
        </w:rPr>
        <w:t xml:space="preserve"> adag lassan beadva nem okozhat elvonási tüneteket. Ha váratlan tünetek jelentkeznek, 5 mg </w:t>
      </w:r>
      <w:proofErr w:type="spellStart"/>
      <w:r w:rsidRPr="007C487A">
        <w:rPr>
          <w:sz w:val="22"/>
          <w:szCs w:val="22"/>
          <w:lang w:val="hu-HU"/>
        </w:rPr>
        <w:t>diazepam</w:t>
      </w:r>
      <w:proofErr w:type="spellEnd"/>
      <w:r w:rsidRPr="007C487A">
        <w:rPr>
          <w:sz w:val="22"/>
          <w:szCs w:val="22"/>
          <w:lang w:val="hu-HU"/>
        </w:rPr>
        <w:t xml:space="preserve"> vagy 5 mg </w:t>
      </w:r>
      <w:proofErr w:type="spellStart"/>
      <w:r w:rsidRPr="007C487A">
        <w:rPr>
          <w:sz w:val="22"/>
          <w:szCs w:val="22"/>
          <w:lang w:val="hu-HU"/>
        </w:rPr>
        <w:t>midazolam</w:t>
      </w:r>
      <w:proofErr w:type="spellEnd"/>
      <w:r w:rsidRPr="007C487A">
        <w:rPr>
          <w:sz w:val="22"/>
          <w:szCs w:val="22"/>
          <w:lang w:val="hu-HU"/>
        </w:rPr>
        <w:t xml:space="preserve"> gondosan titrálva adandó lassú, iv. injekcióban (lásd 4.4 pont).</w:t>
      </w:r>
    </w:p>
    <w:p w14:paraId="4A69B8EB" w14:textId="77777777" w:rsidR="0088272D" w:rsidRPr="007C487A" w:rsidRDefault="0088272D" w:rsidP="0088272D">
      <w:pPr>
        <w:rPr>
          <w:i/>
          <w:szCs w:val="22"/>
        </w:rPr>
      </w:pPr>
    </w:p>
    <w:p w14:paraId="54E7F3A0" w14:textId="77777777" w:rsidR="0088272D" w:rsidRPr="007C487A" w:rsidRDefault="0088272D" w:rsidP="0088272D">
      <w:pPr>
        <w:rPr>
          <w:b/>
          <w:szCs w:val="22"/>
          <w:u w:val="single"/>
        </w:rPr>
      </w:pPr>
      <w:r w:rsidRPr="007C487A">
        <w:rPr>
          <w:b/>
          <w:szCs w:val="22"/>
          <w:u w:val="single"/>
        </w:rPr>
        <w:t xml:space="preserve">Egy évesnél idősebb gyermekek: </w:t>
      </w:r>
    </w:p>
    <w:p w14:paraId="617A1C50" w14:textId="77777777" w:rsidR="0088272D" w:rsidRPr="007C487A" w:rsidRDefault="0088272D" w:rsidP="0088272D">
      <w:pPr>
        <w:rPr>
          <w:b/>
          <w:szCs w:val="22"/>
        </w:rPr>
      </w:pPr>
      <w:r w:rsidRPr="007C487A">
        <w:rPr>
          <w:szCs w:val="22"/>
        </w:rPr>
        <w:t xml:space="preserve">1 évesnél idősebb gyermekek a </w:t>
      </w:r>
      <w:proofErr w:type="spellStart"/>
      <w:r w:rsidRPr="007C487A">
        <w:rPr>
          <w:szCs w:val="22"/>
        </w:rPr>
        <w:t>benzodiazepinekkel</w:t>
      </w:r>
      <w:proofErr w:type="spellEnd"/>
      <w:r w:rsidRPr="007C487A">
        <w:rPr>
          <w:szCs w:val="22"/>
        </w:rPr>
        <w:t xml:space="preserve"> előidézett </w:t>
      </w:r>
      <w:proofErr w:type="spellStart"/>
      <w:r w:rsidRPr="007C487A">
        <w:rPr>
          <w:szCs w:val="22"/>
        </w:rPr>
        <w:t>szedált</w:t>
      </w:r>
      <w:proofErr w:type="spellEnd"/>
      <w:r w:rsidRPr="007C487A">
        <w:rPr>
          <w:szCs w:val="22"/>
        </w:rPr>
        <w:t xml:space="preserve"> állapot megszüntetésére a javasolt kezdő adag 0,01 mg/</w:t>
      </w:r>
      <w:proofErr w:type="spellStart"/>
      <w:r w:rsidRPr="007C487A">
        <w:rPr>
          <w:szCs w:val="22"/>
        </w:rPr>
        <w:t>ttkg</w:t>
      </w:r>
      <w:proofErr w:type="spellEnd"/>
      <w:r w:rsidRPr="007C487A">
        <w:rPr>
          <w:szCs w:val="22"/>
        </w:rPr>
        <w:t xml:space="preserve"> (legfeljebb 0,2 mg </w:t>
      </w:r>
      <w:proofErr w:type="spellStart"/>
      <w:r w:rsidRPr="007C487A">
        <w:rPr>
          <w:szCs w:val="22"/>
        </w:rPr>
        <w:t>összadagig</w:t>
      </w:r>
      <w:proofErr w:type="spellEnd"/>
      <w:r w:rsidRPr="007C487A">
        <w:rPr>
          <w:szCs w:val="22"/>
        </w:rPr>
        <w:t xml:space="preserve">) amit intravénás injekcióban legalább 15 másodperc alatt kell beadni. Amennyiben a kívánt öntudati állapot a beadás után 45 másodperc múlva nem észlelhető, további (0,2 mg </w:t>
      </w:r>
      <w:proofErr w:type="spellStart"/>
      <w:r w:rsidRPr="007C487A">
        <w:rPr>
          <w:szCs w:val="22"/>
        </w:rPr>
        <w:t>összadagon</w:t>
      </w:r>
      <w:proofErr w:type="spellEnd"/>
      <w:r w:rsidRPr="007C487A">
        <w:rPr>
          <w:szCs w:val="22"/>
        </w:rPr>
        <w:t xml:space="preserve"> belüli) 0,01 mg/</w:t>
      </w:r>
      <w:proofErr w:type="spellStart"/>
      <w:r w:rsidRPr="007C487A">
        <w:rPr>
          <w:szCs w:val="22"/>
        </w:rPr>
        <w:t>ttkg</w:t>
      </w:r>
      <w:proofErr w:type="spellEnd"/>
      <w:r w:rsidRPr="007C487A">
        <w:rPr>
          <w:szCs w:val="22"/>
        </w:rPr>
        <w:t xml:space="preserve"> alkalmazható, ami szükség esetén 60 másodperces időközökkel (maximum 4-szer) ismételhető. A beadott összmennyiség azonban nem lehet több, mint a 0,05 mg/</w:t>
      </w:r>
      <w:proofErr w:type="spellStart"/>
      <w:r w:rsidRPr="007C487A">
        <w:rPr>
          <w:szCs w:val="22"/>
        </w:rPr>
        <w:t>ttkg</w:t>
      </w:r>
      <w:proofErr w:type="spellEnd"/>
      <w:r w:rsidRPr="007C487A">
        <w:rPr>
          <w:szCs w:val="22"/>
        </w:rPr>
        <w:t xml:space="preserve"> vagy az 1 mg közül a kisebb mennyiség. Az adagolást egyedileg kell meghatározni a beteg válaszreakciója alapján.</w:t>
      </w:r>
      <w:r w:rsidRPr="007C487A">
        <w:rPr>
          <w:b/>
          <w:szCs w:val="22"/>
        </w:rPr>
        <w:t xml:space="preserve"> </w:t>
      </w:r>
      <w:r w:rsidRPr="007C487A">
        <w:rPr>
          <w:szCs w:val="22"/>
        </w:rPr>
        <w:t xml:space="preserve">Gyermekeknél </w:t>
      </w:r>
      <w:proofErr w:type="spellStart"/>
      <w:r w:rsidRPr="007C487A">
        <w:rPr>
          <w:szCs w:val="22"/>
        </w:rPr>
        <w:t>reszedáció</w:t>
      </w:r>
      <w:proofErr w:type="spellEnd"/>
      <w:r w:rsidRPr="007C487A">
        <w:rPr>
          <w:szCs w:val="22"/>
        </w:rPr>
        <w:t xml:space="preserve"> miatt ismételten adagolt </w:t>
      </w:r>
      <w:proofErr w:type="spellStart"/>
      <w:r w:rsidRPr="007C487A">
        <w:rPr>
          <w:szCs w:val="22"/>
        </w:rPr>
        <w:t>flumazenil</w:t>
      </w:r>
      <w:proofErr w:type="spellEnd"/>
      <w:r w:rsidRPr="007C487A">
        <w:rPr>
          <w:szCs w:val="22"/>
        </w:rPr>
        <w:t xml:space="preserve"> biztonságosságára és hatékonyságára vonatkozó adatok nem állnak rendelkezésre.</w:t>
      </w:r>
    </w:p>
    <w:p w14:paraId="249D0514" w14:textId="77777777" w:rsidR="0088272D" w:rsidRPr="007C487A" w:rsidRDefault="0088272D" w:rsidP="0088272D">
      <w:pPr>
        <w:rPr>
          <w:b/>
          <w:szCs w:val="22"/>
        </w:rPr>
      </w:pPr>
    </w:p>
    <w:p w14:paraId="36D885D7" w14:textId="77777777" w:rsidR="0088272D" w:rsidRPr="007C487A" w:rsidRDefault="0088272D" w:rsidP="0088272D">
      <w:pPr>
        <w:rPr>
          <w:b/>
          <w:szCs w:val="22"/>
          <w:u w:val="single"/>
        </w:rPr>
      </w:pPr>
      <w:r w:rsidRPr="007C487A">
        <w:rPr>
          <w:b/>
          <w:szCs w:val="22"/>
          <w:u w:val="single"/>
        </w:rPr>
        <w:t>Májkárosodásban szenvedő betegek:</w:t>
      </w:r>
    </w:p>
    <w:p w14:paraId="2B935E13" w14:textId="77777777" w:rsidR="0088272D" w:rsidRPr="007C487A" w:rsidRDefault="0088272D" w:rsidP="0088272D">
      <w:pPr>
        <w:rPr>
          <w:b/>
          <w:szCs w:val="22"/>
        </w:rPr>
      </w:pPr>
      <w:r w:rsidRPr="007C487A">
        <w:rPr>
          <w:szCs w:val="22"/>
        </w:rPr>
        <w:t xml:space="preserve">Mivel a </w:t>
      </w:r>
      <w:proofErr w:type="spellStart"/>
      <w:r w:rsidRPr="007C487A">
        <w:rPr>
          <w:szCs w:val="22"/>
        </w:rPr>
        <w:t>flumazenil</w:t>
      </w:r>
      <w:proofErr w:type="spellEnd"/>
      <w:r w:rsidRPr="007C487A">
        <w:rPr>
          <w:szCs w:val="22"/>
        </w:rPr>
        <w:t xml:space="preserve"> elsődlegesen a májban </w:t>
      </w:r>
      <w:proofErr w:type="spellStart"/>
      <w:r w:rsidRPr="007C487A">
        <w:rPr>
          <w:szCs w:val="22"/>
        </w:rPr>
        <w:t>metabolizálódik</w:t>
      </w:r>
      <w:proofErr w:type="spellEnd"/>
      <w:r w:rsidRPr="007C487A">
        <w:rPr>
          <w:szCs w:val="22"/>
        </w:rPr>
        <w:t xml:space="preserve"> az adag körültekintő titrálása javasolt májkárosodásban szenvedő betegekben.</w:t>
      </w:r>
    </w:p>
    <w:p w14:paraId="4F8CD7FE" w14:textId="77777777" w:rsidR="0088272D" w:rsidRPr="007C487A" w:rsidRDefault="0088272D" w:rsidP="0088272D">
      <w:pPr>
        <w:rPr>
          <w:b/>
          <w:szCs w:val="22"/>
        </w:rPr>
      </w:pPr>
    </w:p>
    <w:p w14:paraId="694703FD" w14:textId="77777777" w:rsidR="0088272D" w:rsidRPr="007C487A" w:rsidRDefault="0088272D" w:rsidP="0088272D">
      <w:pPr>
        <w:rPr>
          <w:b/>
          <w:szCs w:val="22"/>
          <w:u w:val="single"/>
        </w:rPr>
      </w:pPr>
      <w:r w:rsidRPr="007C487A">
        <w:rPr>
          <w:b/>
          <w:szCs w:val="22"/>
          <w:u w:val="single"/>
        </w:rPr>
        <w:t>Vesekárosodásban szenvedő betegek:</w:t>
      </w:r>
    </w:p>
    <w:p w14:paraId="6470DD25" w14:textId="77777777" w:rsidR="0088272D" w:rsidRPr="007C487A" w:rsidRDefault="0088272D" w:rsidP="0088272D">
      <w:pPr>
        <w:rPr>
          <w:szCs w:val="22"/>
        </w:rPr>
      </w:pPr>
      <w:r w:rsidRPr="007C487A">
        <w:rPr>
          <w:szCs w:val="22"/>
        </w:rPr>
        <w:t xml:space="preserve">A </w:t>
      </w:r>
      <w:proofErr w:type="spellStart"/>
      <w:r w:rsidRPr="007C487A">
        <w:rPr>
          <w:szCs w:val="22"/>
        </w:rPr>
        <w:t>flumazenil</w:t>
      </w:r>
      <w:proofErr w:type="spellEnd"/>
      <w:r w:rsidRPr="007C487A">
        <w:rPr>
          <w:szCs w:val="22"/>
        </w:rPr>
        <w:t xml:space="preserve"> </w:t>
      </w:r>
      <w:proofErr w:type="spellStart"/>
      <w:r w:rsidRPr="007C487A">
        <w:rPr>
          <w:szCs w:val="22"/>
        </w:rPr>
        <w:t>farmakokinetikája</w:t>
      </w:r>
      <w:proofErr w:type="spellEnd"/>
      <w:r w:rsidRPr="007C487A">
        <w:rPr>
          <w:szCs w:val="22"/>
        </w:rPr>
        <w:t xml:space="preserve"> nem változik, adagmódosításra nincs szükség (lásd 5.2 pont).</w:t>
      </w:r>
    </w:p>
    <w:p w14:paraId="58E0C548" w14:textId="77777777" w:rsidR="0088272D" w:rsidRPr="007C487A" w:rsidRDefault="0088272D" w:rsidP="0088272D">
      <w:pPr>
        <w:rPr>
          <w:b/>
          <w:szCs w:val="22"/>
        </w:rPr>
      </w:pPr>
    </w:p>
    <w:p w14:paraId="41FD4A20" w14:textId="77777777" w:rsidR="0088272D" w:rsidRPr="007C487A" w:rsidRDefault="0088272D" w:rsidP="0088272D">
      <w:pPr>
        <w:suppressAutoHyphens w:val="0"/>
        <w:ind w:left="567" w:hanging="567"/>
        <w:rPr>
          <w:b/>
          <w:szCs w:val="22"/>
          <w:lang w:eastAsia="ja-JP"/>
        </w:rPr>
      </w:pPr>
      <w:r w:rsidRPr="007C487A">
        <w:rPr>
          <w:b/>
          <w:szCs w:val="22"/>
          <w:lang w:eastAsia="ja-JP"/>
        </w:rPr>
        <w:t xml:space="preserve"> 4.3</w:t>
      </w:r>
      <w:r w:rsidRPr="007C487A">
        <w:rPr>
          <w:b/>
          <w:szCs w:val="22"/>
          <w:lang w:eastAsia="ja-JP"/>
        </w:rPr>
        <w:tab/>
        <w:t>Ellenjavallatok</w:t>
      </w:r>
    </w:p>
    <w:p w14:paraId="2D1187D7" w14:textId="77777777" w:rsidR="0088272D" w:rsidRPr="007C487A" w:rsidRDefault="0088272D" w:rsidP="0088272D">
      <w:pPr>
        <w:rPr>
          <w:szCs w:val="22"/>
        </w:rPr>
      </w:pPr>
    </w:p>
    <w:p w14:paraId="14951142" w14:textId="77777777" w:rsidR="0088272D" w:rsidRPr="007C487A" w:rsidRDefault="0088272D" w:rsidP="0088272D">
      <w:pPr>
        <w:rPr>
          <w:szCs w:val="22"/>
        </w:rPr>
      </w:pPr>
      <w:r w:rsidRPr="007C487A">
        <w:rPr>
          <w:szCs w:val="22"/>
        </w:rPr>
        <w:t xml:space="preserve">Az </w:t>
      </w:r>
      <w:proofErr w:type="spellStart"/>
      <w:r w:rsidRPr="007C487A">
        <w:rPr>
          <w:szCs w:val="22"/>
        </w:rPr>
        <w:t>Anexate</w:t>
      </w:r>
      <w:proofErr w:type="spellEnd"/>
      <w:r w:rsidRPr="007C487A">
        <w:rPr>
          <w:szCs w:val="22"/>
        </w:rPr>
        <w:t xml:space="preserve"> ellenjavallt az alábbi esetekben:</w:t>
      </w:r>
    </w:p>
    <w:p w14:paraId="35C3D5C3"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A készítmény hatóanyagával vagy a 6.1 pontban felsorolt bármely segédanyagával szembeni túlérzékenység.</w:t>
      </w:r>
    </w:p>
    <w:p w14:paraId="34EC69F0"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 xml:space="preserve">Azoknál a betegeknél, akik potenciálisan életveszélyes állapot kezelésére (pl. </w:t>
      </w:r>
      <w:proofErr w:type="spellStart"/>
      <w:r w:rsidRPr="007C487A">
        <w:rPr>
          <w:szCs w:val="22"/>
        </w:rPr>
        <w:t>intracranialis</w:t>
      </w:r>
      <w:proofErr w:type="spellEnd"/>
      <w:r w:rsidRPr="007C487A">
        <w:rPr>
          <w:szCs w:val="22"/>
        </w:rPr>
        <w:t xml:space="preserve"> nyomásfokozódás, vagy status </w:t>
      </w:r>
      <w:proofErr w:type="spellStart"/>
      <w:r w:rsidRPr="007C487A">
        <w:rPr>
          <w:szCs w:val="22"/>
        </w:rPr>
        <w:t>epilepticus</w:t>
      </w:r>
      <w:proofErr w:type="spellEnd"/>
      <w:r w:rsidRPr="007C487A">
        <w:rPr>
          <w:szCs w:val="22"/>
        </w:rPr>
        <w:t>)</w:t>
      </w:r>
      <w:r w:rsidR="00ED4025" w:rsidRPr="007C487A">
        <w:rPr>
          <w:szCs w:val="22"/>
        </w:rPr>
        <w:t xml:space="preserve"> </w:t>
      </w:r>
      <w:proofErr w:type="spellStart"/>
      <w:r w:rsidRPr="007C487A">
        <w:rPr>
          <w:szCs w:val="22"/>
        </w:rPr>
        <w:t>benzodiazepin</w:t>
      </w:r>
      <w:proofErr w:type="spellEnd"/>
      <w:r w:rsidRPr="007C487A">
        <w:rPr>
          <w:szCs w:val="22"/>
        </w:rPr>
        <w:t xml:space="preserve"> kezelést kaptak.</w:t>
      </w:r>
    </w:p>
    <w:p w14:paraId="6CA8FCB1" w14:textId="77777777" w:rsidR="0088272D" w:rsidRPr="007C487A" w:rsidRDefault="0088272D" w:rsidP="0088272D">
      <w:pPr>
        <w:rPr>
          <w:szCs w:val="22"/>
        </w:rPr>
      </w:pPr>
    </w:p>
    <w:p w14:paraId="29F310B5" w14:textId="77777777" w:rsidR="0088272D" w:rsidRPr="007C487A" w:rsidRDefault="0088272D" w:rsidP="0088272D">
      <w:pPr>
        <w:suppressAutoHyphens w:val="0"/>
        <w:ind w:left="567" w:hanging="567"/>
        <w:rPr>
          <w:b/>
          <w:szCs w:val="22"/>
          <w:lang w:eastAsia="ja-JP"/>
        </w:rPr>
      </w:pPr>
      <w:r w:rsidRPr="007C487A">
        <w:rPr>
          <w:b/>
          <w:szCs w:val="22"/>
          <w:lang w:eastAsia="ja-JP"/>
        </w:rPr>
        <w:t>4.4.</w:t>
      </w:r>
      <w:r w:rsidRPr="007C487A">
        <w:rPr>
          <w:b/>
          <w:szCs w:val="22"/>
          <w:lang w:eastAsia="ja-JP"/>
        </w:rPr>
        <w:tab/>
        <w:t>Különleges figyelmeztetések és az alkalmazással kapcsolatos óvintézkedések</w:t>
      </w:r>
    </w:p>
    <w:p w14:paraId="6CD4B3B6" w14:textId="77777777" w:rsidR="0088272D" w:rsidRPr="007C487A" w:rsidRDefault="0088272D" w:rsidP="0088272D">
      <w:pPr>
        <w:suppressAutoHyphens w:val="0"/>
        <w:ind w:left="567" w:hanging="567"/>
        <w:rPr>
          <w:b/>
          <w:szCs w:val="22"/>
          <w:lang w:eastAsia="ja-JP"/>
        </w:rPr>
      </w:pPr>
    </w:p>
    <w:p w14:paraId="36FF43A8" w14:textId="5B5A89A6"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 xml:space="preserve">Ameddig elegendő tapasztalat nem áll rendelkezésre, addig egy éves kor alatti csecsemőknek és </w:t>
      </w:r>
      <w:proofErr w:type="spellStart"/>
      <w:r w:rsidRPr="007C487A">
        <w:rPr>
          <w:szCs w:val="22"/>
        </w:rPr>
        <w:t>újszülőtteknek</w:t>
      </w:r>
      <w:proofErr w:type="spellEnd"/>
      <w:r w:rsidRPr="007C487A">
        <w:rPr>
          <w:szCs w:val="22"/>
        </w:rPr>
        <w:t xml:space="preserve"> a kezelés kockázatainak és várható előnyeinek mérlegelése után szabad csak </w:t>
      </w:r>
      <w:proofErr w:type="spellStart"/>
      <w:r w:rsidRPr="007C487A">
        <w:rPr>
          <w:szCs w:val="22"/>
        </w:rPr>
        <w:t>Anexate-</w:t>
      </w:r>
      <w:r w:rsidR="00CC301A">
        <w:rPr>
          <w:szCs w:val="22"/>
        </w:rPr>
        <w:t>o</w:t>
      </w:r>
      <w:r w:rsidRPr="007C487A">
        <w:rPr>
          <w:szCs w:val="22"/>
        </w:rPr>
        <w:t>t</w:t>
      </w:r>
      <w:proofErr w:type="spellEnd"/>
      <w:r w:rsidRPr="007C487A">
        <w:rPr>
          <w:szCs w:val="22"/>
        </w:rPr>
        <w:t xml:space="preserve"> adni (különösen véletlenszerű túladagolás esetén).</w:t>
      </w:r>
    </w:p>
    <w:p w14:paraId="79D3454A" w14:textId="69BCBFC1"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Májműködési zavar fennállása esetén lassulhat a</w:t>
      </w:r>
      <w:r w:rsidR="00CC301A">
        <w:rPr>
          <w:szCs w:val="22"/>
        </w:rPr>
        <w:t xml:space="preserve"> </w:t>
      </w:r>
      <w:proofErr w:type="spellStart"/>
      <w:r w:rsidRPr="007C487A">
        <w:rPr>
          <w:szCs w:val="22"/>
        </w:rPr>
        <w:t>flumazenil</w:t>
      </w:r>
      <w:proofErr w:type="spellEnd"/>
      <w:r w:rsidRPr="007C487A">
        <w:rPr>
          <w:szCs w:val="22"/>
        </w:rPr>
        <w:t xml:space="preserve"> eliminációja.</w:t>
      </w:r>
    </w:p>
    <w:p w14:paraId="3916301A"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 xml:space="preserve">Az </w:t>
      </w:r>
      <w:proofErr w:type="spellStart"/>
      <w:r w:rsidRPr="007C487A">
        <w:rPr>
          <w:szCs w:val="22"/>
        </w:rPr>
        <w:t>Anexate</w:t>
      </w:r>
      <w:proofErr w:type="spellEnd"/>
      <w:r w:rsidRPr="007C487A">
        <w:rPr>
          <w:szCs w:val="22"/>
        </w:rPr>
        <w:t xml:space="preserve"> kizárólag a </w:t>
      </w:r>
      <w:proofErr w:type="spellStart"/>
      <w:r w:rsidRPr="007C487A">
        <w:rPr>
          <w:szCs w:val="22"/>
        </w:rPr>
        <w:t>benzodiazepinek</w:t>
      </w:r>
      <w:proofErr w:type="spellEnd"/>
      <w:r w:rsidRPr="007C487A">
        <w:rPr>
          <w:szCs w:val="22"/>
        </w:rPr>
        <w:t xml:space="preserve"> hatását </w:t>
      </w:r>
      <w:proofErr w:type="spellStart"/>
      <w:r w:rsidRPr="007C487A">
        <w:rPr>
          <w:szCs w:val="22"/>
        </w:rPr>
        <w:t>antagonizálja</w:t>
      </w:r>
      <w:proofErr w:type="spellEnd"/>
      <w:r w:rsidRPr="007C487A">
        <w:rPr>
          <w:szCs w:val="22"/>
        </w:rPr>
        <w:t xml:space="preserve">, ezért nem várható hatás, ha az eszméletlen állapotot egyéb vegyületek okozzák. Műtétek végén, az </w:t>
      </w:r>
      <w:proofErr w:type="spellStart"/>
      <w:r w:rsidRPr="007C487A">
        <w:rPr>
          <w:szCs w:val="22"/>
        </w:rPr>
        <w:t>Anexate</w:t>
      </w:r>
      <w:proofErr w:type="spellEnd"/>
      <w:r w:rsidRPr="007C487A">
        <w:rPr>
          <w:szCs w:val="22"/>
        </w:rPr>
        <w:t xml:space="preserve"> </w:t>
      </w:r>
      <w:proofErr w:type="spellStart"/>
      <w:r w:rsidRPr="007C487A">
        <w:rPr>
          <w:szCs w:val="22"/>
        </w:rPr>
        <w:t>aneszteziológiai</w:t>
      </w:r>
      <w:proofErr w:type="spellEnd"/>
      <w:r w:rsidRPr="007C487A">
        <w:rPr>
          <w:szCs w:val="22"/>
        </w:rPr>
        <w:t xml:space="preserve"> alkalmazása során előbb meg kell várni a perifériás </w:t>
      </w:r>
      <w:proofErr w:type="spellStart"/>
      <w:r w:rsidRPr="007C487A">
        <w:rPr>
          <w:szCs w:val="22"/>
        </w:rPr>
        <w:t>izomrelaxánsok</w:t>
      </w:r>
      <w:proofErr w:type="spellEnd"/>
      <w:r w:rsidRPr="007C487A">
        <w:rPr>
          <w:szCs w:val="22"/>
        </w:rPr>
        <w:t xml:space="preserve"> hatásának megszűnését. Az </w:t>
      </w:r>
      <w:proofErr w:type="spellStart"/>
      <w:r w:rsidRPr="007C487A">
        <w:rPr>
          <w:szCs w:val="22"/>
        </w:rPr>
        <w:t>Anexate</w:t>
      </w:r>
      <w:proofErr w:type="spellEnd"/>
      <w:r w:rsidRPr="007C487A">
        <w:rPr>
          <w:szCs w:val="22"/>
        </w:rPr>
        <w:t xml:space="preserve"> hatása rövidebb, mint a </w:t>
      </w:r>
      <w:proofErr w:type="spellStart"/>
      <w:r w:rsidRPr="007C487A">
        <w:rPr>
          <w:szCs w:val="22"/>
        </w:rPr>
        <w:t>benzodiazepineké</w:t>
      </w:r>
      <w:proofErr w:type="spellEnd"/>
      <w:r w:rsidRPr="007C487A">
        <w:rPr>
          <w:szCs w:val="22"/>
        </w:rPr>
        <w:t xml:space="preserve">, ezért </w:t>
      </w:r>
      <w:proofErr w:type="spellStart"/>
      <w:r w:rsidRPr="007C487A">
        <w:rPr>
          <w:szCs w:val="22"/>
        </w:rPr>
        <w:t>reszedáció</w:t>
      </w:r>
      <w:proofErr w:type="spellEnd"/>
      <w:r w:rsidRPr="007C487A">
        <w:rPr>
          <w:szCs w:val="22"/>
        </w:rPr>
        <w:t xml:space="preserve"> kialakulhat. Emiatt a beteget mindaddig megfigyelés alatt kell tartani, lehetőleg intenzív osztályon, amíg az </w:t>
      </w:r>
      <w:proofErr w:type="spellStart"/>
      <w:r w:rsidRPr="007C487A">
        <w:rPr>
          <w:szCs w:val="22"/>
        </w:rPr>
        <w:t>Anexate</w:t>
      </w:r>
      <w:proofErr w:type="spellEnd"/>
      <w:r w:rsidRPr="007C487A">
        <w:rPr>
          <w:szCs w:val="22"/>
        </w:rPr>
        <w:t xml:space="preserve"> hatása meg nem szűnik.</w:t>
      </w:r>
    </w:p>
    <w:p w14:paraId="234037FA"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 xml:space="preserve">Fokozott kockázatú betegeknél mérlegelni kell a </w:t>
      </w:r>
      <w:proofErr w:type="spellStart"/>
      <w:r w:rsidRPr="007C487A">
        <w:rPr>
          <w:szCs w:val="22"/>
        </w:rPr>
        <w:t>benzodiazepin</w:t>
      </w:r>
      <w:proofErr w:type="spellEnd"/>
      <w:r w:rsidRPr="007C487A">
        <w:rPr>
          <w:szCs w:val="22"/>
        </w:rPr>
        <w:t xml:space="preserve"> által kiváltott </w:t>
      </w:r>
      <w:proofErr w:type="spellStart"/>
      <w:r w:rsidRPr="007C487A">
        <w:rPr>
          <w:szCs w:val="22"/>
        </w:rPr>
        <w:t>szedáció</w:t>
      </w:r>
      <w:proofErr w:type="spellEnd"/>
      <w:r w:rsidRPr="007C487A">
        <w:rPr>
          <w:szCs w:val="22"/>
        </w:rPr>
        <w:t xml:space="preserve"> előnyeit a gyors ébredés kockázataival szemben. A korai posztoperatív időszakban egyes betegeknél (pl. szívbetegeknél) előnyösebb lehet egy bizonyos mértékű </w:t>
      </w:r>
      <w:proofErr w:type="spellStart"/>
      <w:r w:rsidRPr="007C487A">
        <w:rPr>
          <w:szCs w:val="22"/>
        </w:rPr>
        <w:t>szedáció</w:t>
      </w:r>
      <w:proofErr w:type="spellEnd"/>
      <w:r w:rsidRPr="007C487A">
        <w:rPr>
          <w:szCs w:val="22"/>
        </w:rPr>
        <w:t xml:space="preserve"> fenntartása, mint a teljesen éber állapot.</w:t>
      </w:r>
    </w:p>
    <w:p w14:paraId="71B04630"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lastRenderedPageBreak/>
        <w:t xml:space="preserve">Kerülni kell az </w:t>
      </w:r>
      <w:proofErr w:type="spellStart"/>
      <w:r w:rsidRPr="007C487A">
        <w:rPr>
          <w:szCs w:val="22"/>
        </w:rPr>
        <w:t>Anexate</w:t>
      </w:r>
      <w:proofErr w:type="spellEnd"/>
      <w:r w:rsidRPr="007C487A">
        <w:rPr>
          <w:szCs w:val="22"/>
        </w:rPr>
        <w:t xml:space="preserve"> gyors beadását. Amennyiben az </w:t>
      </w:r>
      <w:proofErr w:type="spellStart"/>
      <w:r w:rsidRPr="007C487A">
        <w:rPr>
          <w:szCs w:val="22"/>
        </w:rPr>
        <w:t>Anexate</w:t>
      </w:r>
      <w:proofErr w:type="spellEnd"/>
      <w:r w:rsidRPr="007C487A">
        <w:rPr>
          <w:szCs w:val="22"/>
        </w:rPr>
        <w:t xml:space="preserve"> adagolást megelőző hetekben a beteg nagy adag és/vagy hosszan tartó </w:t>
      </w:r>
      <w:proofErr w:type="spellStart"/>
      <w:r w:rsidRPr="007C487A">
        <w:rPr>
          <w:szCs w:val="22"/>
        </w:rPr>
        <w:t>benzodiazepin</w:t>
      </w:r>
      <w:proofErr w:type="spellEnd"/>
      <w:r w:rsidRPr="007C487A">
        <w:rPr>
          <w:szCs w:val="22"/>
        </w:rPr>
        <w:t xml:space="preserve"> kezelésben részesült (még akkor is, ha a kezelést az injekció beadása előtt hetekkel abbahagyták), 1 mg vagy nagyobb adagok gyors beadásakor </w:t>
      </w:r>
      <w:proofErr w:type="spellStart"/>
      <w:r w:rsidRPr="007C487A">
        <w:rPr>
          <w:szCs w:val="22"/>
        </w:rPr>
        <w:t>megvonásos</w:t>
      </w:r>
      <w:proofErr w:type="spellEnd"/>
      <w:r w:rsidRPr="007C487A">
        <w:rPr>
          <w:szCs w:val="22"/>
        </w:rPr>
        <w:t xml:space="preserve"> tünetek jelentkezhetnek, pl. </w:t>
      </w:r>
      <w:proofErr w:type="spellStart"/>
      <w:r w:rsidRPr="007C487A">
        <w:rPr>
          <w:szCs w:val="22"/>
        </w:rPr>
        <w:t>palpitáció</w:t>
      </w:r>
      <w:proofErr w:type="spellEnd"/>
      <w:r w:rsidRPr="007C487A">
        <w:rPr>
          <w:szCs w:val="22"/>
        </w:rPr>
        <w:t xml:space="preserve">, agitáció, szorongás, </w:t>
      </w:r>
      <w:proofErr w:type="spellStart"/>
      <w:r w:rsidRPr="007C487A">
        <w:rPr>
          <w:szCs w:val="22"/>
        </w:rPr>
        <w:t>emócionális</w:t>
      </w:r>
      <w:proofErr w:type="spellEnd"/>
      <w:r w:rsidRPr="007C487A">
        <w:rPr>
          <w:szCs w:val="22"/>
        </w:rPr>
        <w:t xml:space="preserve"> labilitás, valamint enyhe zavartság és szenzoros zavarok.</w:t>
      </w:r>
    </w:p>
    <w:p w14:paraId="12818D83"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 xml:space="preserve">A </w:t>
      </w:r>
      <w:proofErr w:type="spellStart"/>
      <w:r w:rsidRPr="007C487A">
        <w:rPr>
          <w:szCs w:val="22"/>
        </w:rPr>
        <w:t>preoperatív</w:t>
      </w:r>
      <w:proofErr w:type="spellEnd"/>
      <w:r w:rsidRPr="007C487A">
        <w:rPr>
          <w:szCs w:val="22"/>
        </w:rPr>
        <w:t xml:space="preserve"> időszakban szorongást mutató, ill. krónikus vagy átmeneti szorongásos betegségben szenvedő betegeknél körültekintően kell az </w:t>
      </w:r>
      <w:proofErr w:type="spellStart"/>
      <w:r w:rsidRPr="007C487A">
        <w:rPr>
          <w:szCs w:val="22"/>
        </w:rPr>
        <w:t>Anexate</w:t>
      </w:r>
      <w:proofErr w:type="spellEnd"/>
      <w:r w:rsidRPr="007C487A">
        <w:rPr>
          <w:szCs w:val="22"/>
        </w:rPr>
        <w:t xml:space="preserve"> adagját meghatározni.</w:t>
      </w:r>
    </w:p>
    <w:p w14:paraId="0F1E87A0"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 xml:space="preserve">Nagyobb műtéteket követően a posztoperatív fájdalom miatt előnyösebb lehet egy enyhe </w:t>
      </w:r>
      <w:proofErr w:type="spellStart"/>
      <w:r w:rsidRPr="007C487A">
        <w:rPr>
          <w:szCs w:val="22"/>
        </w:rPr>
        <w:t>szedáció</w:t>
      </w:r>
      <w:proofErr w:type="spellEnd"/>
      <w:r w:rsidRPr="007C487A">
        <w:rPr>
          <w:szCs w:val="22"/>
        </w:rPr>
        <w:t xml:space="preserve"> fenntartása.</w:t>
      </w:r>
    </w:p>
    <w:p w14:paraId="2145BEF9"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 xml:space="preserve">Krónikus, nagy dózisú </w:t>
      </w:r>
      <w:proofErr w:type="spellStart"/>
      <w:r w:rsidRPr="007C487A">
        <w:rPr>
          <w:szCs w:val="22"/>
        </w:rPr>
        <w:t>benzodiazepin</w:t>
      </w:r>
      <w:proofErr w:type="spellEnd"/>
      <w:r w:rsidRPr="007C487A">
        <w:rPr>
          <w:szCs w:val="22"/>
        </w:rPr>
        <w:t xml:space="preserve"> kezelésben részesülő betegeknél gondosan mérlegelni kell az </w:t>
      </w:r>
      <w:proofErr w:type="spellStart"/>
      <w:r w:rsidRPr="007C487A">
        <w:rPr>
          <w:szCs w:val="22"/>
        </w:rPr>
        <w:t>Anexate</w:t>
      </w:r>
      <w:proofErr w:type="spellEnd"/>
      <w:r w:rsidRPr="007C487A">
        <w:rPr>
          <w:szCs w:val="22"/>
        </w:rPr>
        <w:t xml:space="preserve"> alkalmazásának előnyeit a </w:t>
      </w:r>
      <w:proofErr w:type="spellStart"/>
      <w:r w:rsidRPr="007C487A">
        <w:rPr>
          <w:szCs w:val="22"/>
        </w:rPr>
        <w:t>megvonásos</w:t>
      </w:r>
      <w:proofErr w:type="spellEnd"/>
      <w:r w:rsidRPr="007C487A">
        <w:rPr>
          <w:szCs w:val="22"/>
        </w:rPr>
        <w:t xml:space="preserve"> tünetek kockázataival szemben. Ha a körültekintő adagolás ellenére </w:t>
      </w:r>
      <w:proofErr w:type="spellStart"/>
      <w:r w:rsidRPr="007C487A">
        <w:rPr>
          <w:szCs w:val="22"/>
        </w:rPr>
        <w:t>megvonásos</w:t>
      </w:r>
      <w:proofErr w:type="spellEnd"/>
      <w:r w:rsidRPr="007C487A">
        <w:rPr>
          <w:szCs w:val="22"/>
        </w:rPr>
        <w:t xml:space="preserve"> tünetek jelentkeznek, megfontolandó egy kis adag intravénás </w:t>
      </w:r>
      <w:proofErr w:type="spellStart"/>
      <w:r w:rsidRPr="007C487A">
        <w:rPr>
          <w:szCs w:val="22"/>
        </w:rPr>
        <w:t>benzodiazepin</w:t>
      </w:r>
      <w:proofErr w:type="spellEnd"/>
      <w:r w:rsidRPr="007C487A">
        <w:rPr>
          <w:szCs w:val="22"/>
        </w:rPr>
        <w:t xml:space="preserve"> alkalmazása, az észlelt klinikai válasz szerint adagolva.</w:t>
      </w:r>
    </w:p>
    <w:p w14:paraId="0BBC12A1"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 xml:space="preserve">Hosszú távú, </w:t>
      </w:r>
      <w:proofErr w:type="spellStart"/>
      <w:r w:rsidRPr="007C487A">
        <w:rPr>
          <w:szCs w:val="22"/>
        </w:rPr>
        <w:t>benzodiazepin</w:t>
      </w:r>
      <w:proofErr w:type="spellEnd"/>
      <w:r w:rsidRPr="007C487A">
        <w:rPr>
          <w:szCs w:val="22"/>
        </w:rPr>
        <w:t xml:space="preserve"> kezelésben részesülő epilepsziás betegeknél nem ajánlott az </w:t>
      </w:r>
      <w:proofErr w:type="spellStart"/>
      <w:r w:rsidRPr="007C487A">
        <w:rPr>
          <w:szCs w:val="22"/>
        </w:rPr>
        <w:t>antagonisták</w:t>
      </w:r>
      <w:proofErr w:type="spellEnd"/>
      <w:r w:rsidRPr="007C487A">
        <w:rPr>
          <w:szCs w:val="22"/>
        </w:rPr>
        <w:t xml:space="preserve"> alkalmazása. Habár az </w:t>
      </w:r>
      <w:proofErr w:type="spellStart"/>
      <w:r w:rsidRPr="007C487A">
        <w:rPr>
          <w:szCs w:val="22"/>
        </w:rPr>
        <w:t>Anexate-nak</w:t>
      </w:r>
      <w:proofErr w:type="spellEnd"/>
      <w:r w:rsidRPr="007C487A">
        <w:rPr>
          <w:szCs w:val="22"/>
        </w:rPr>
        <w:t xml:space="preserve"> is van enyhe </w:t>
      </w:r>
      <w:proofErr w:type="spellStart"/>
      <w:r w:rsidRPr="007C487A">
        <w:rPr>
          <w:szCs w:val="22"/>
        </w:rPr>
        <w:t>antiepileptikus</w:t>
      </w:r>
      <w:proofErr w:type="spellEnd"/>
      <w:r w:rsidRPr="007C487A">
        <w:rPr>
          <w:szCs w:val="22"/>
        </w:rPr>
        <w:t xml:space="preserve"> hatása, de epilepsziás betegeknél a </w:t>
      </w:r>
      <w:proofErr w:type="spellStart"/>
      <w:r w:rsidRPr="007C487A">
        <w:rPr>
          <w:szCs w:val="22"/>
        </w:rPr>
        <w:t>benzodiazepin</w:t>
      </w:r>
      <w:proofErr w:type="spellEnd"/>
      <w:r w:rsidRPr="007C487A">
        <w:rPr>
          <w:szCs w:val="22"/>
        </w:rPr>
        <w:t xml:space="preserve"> </w:t>
      </w:r>
      <w:proofErr w:type="spellStart"/>
      <w:r w:rsidRPr="007C487A">
        <w:rPr>
          <w:szCs w:val="22"/>
        </w:rPr>
        <w:t>agonisták</w:t>
      </w:r>
      <w:proofErr w:type="spellEnd"/>
      <w:r w:rsidRPr="007C487A">
        <w:rPr>
          <w:szCs w:val="22"/>
        </w:rPr>
        <w:t xml:space="preserve"> védő hatásának hirtelen megvonása epilepsziás rohamokat válthat ki. </w:t>
      </w:r>
    </w:p>
    <w:p w14:paraId="4923587E"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 xml:space="preserve">Súlyos agysérülés (és/vagy instabil </w:t>
      </w:r>
      <w:proofErr w:type="spellStart"/>
      <w:r w:rsidRPr="007C487A">
        <w:rPr>
          <w:szCs w:val="22"/>
        </w:rPr>
        <w:t>intracranialis</w:t>
      </w:r>
      <w:proofErr w:type="spellEnd"/>
      <w:r w:rsidRPr="007C487A">
        <w:rPr>
          <w:szCs w:val="22"/>
        </w:rPr>
        <w:t xml:space="preserve"> nyomás) esetén, </w:t>
      </w:r>
      <w:proofErr w:type="spellStart"/>
      <w:r w:rsidRPr="007C487A">
        <w:rPr>
          <w:szCs w:val="22"/>
        </w:rPr>
        <w:t>intracranialis</w:t>
      </w:r>
      <w:proofErr w:type="spellEnd"/>
      <w:r w:rsidRPr="007C487A">
        <w:rPr>
          <w:szCs w:val="22"/>
        </w:rPr>
        <w:t xml:space="preserve"> nyomásfokozódás alakulhat ki a </w:t>
      </w:r>
      <w:proofErr w:type="spellStart"/>
      <w:r w:rsidRPr="007C487A">
        <w:rPr>
          <w:szCs w:val="22"/>
        </w:rPr>
        <w:t>benzodiazepin</w:t>
      </w:r>
      <w:proofErr w:type="spellEnd"/>
      <w:r w:rsidRPr="007C487A">
        <w:rPr>
          <w:szCs w:val="22"/>
        </w:rPr>
        <w:t xml:space="preserve"> hatás </w:t>
      </w:r>
      <w:proofErr w:type="spellStart"/>
      <w:r w:rsidRPr="007C487A">
        <w:rPr>
          <w:szCs w:val="22"/>
        </w:rPr>
        <w:t>antagonizálása</w:t>
      </w:r>
      <w:proofErr w:type="spellEnd"/>
      <w:r w:rsidRPr="007C487A">
        <w:rPr>
          <w:szCs w:val="22"/>
        </w:rPr>
        <w:t xml:space="preserve"> céljából alkalmazott </w:t>
      </w:r>
      <w:proofErr w:type="spellStart"/>
      <w:r w:rsidRPr="007C487A">
        <w:rPr>
          <w:szCs w:val="22"/>
        </w:rPr>
        <w:t>Anexate</w:t>
      </w:r>
      <w:proofErr w:type="spellEnd"/>
      <w:r w:rsidRPr="007C487A">
        <w:rPr>
          <w:szCs w:val="22"/>
        </w:rPr>
        <w:t xml:space="preserve"> adagolásakor.</w:t>
      </w:r>
    </w:p>
    <w:p w14:paraId="6C06C7D7"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 xml:space="preserve">Több különböző gyógyszer egyidejű túladagolásakor különös elővigyázatosság szükséges az </w:t>
      </w:r>
      <w:proofErr w:type="spellStart"/>
      <w:r w:rsidRPr="007C487A">
        <w:rPr>
          <w:szCs w:val="22"/>
        </w:rPr>
        <w:t>Anexate</w:t>
      </w:r>
      <w:proofErr w:type="spellEnd"/>
      <w:r w:rsidRPr="007C487A">
        <w:rPr>
          <w:szCs w:val="22"/>
        </w:rPr>
        <w:t xml:space="preserve"> alkalmazásakor. </w:t>
      </w:r>
      <w:proofErr w:type="spellStart"/>
      <w:r w:rsidRPr="007C487A">
        <w:rPr>
          <w:szCs w:val="22"/>
        </w:rPr>
        <w:t>Benzodiazepinek</w:t>
      </w:r>
      <w:proofErr w:type="spellEnd"/>
      <w:r w:rsidRPr="007C487A">
        <w:rPr>
          <w:szCs w:val="22"/>
        </w:rPr>
        <w:t xml:space="preserve"> és ciklikus antidepresszánsok egyidejű túladagolásának konkrét esetében az ilyen típusú </w:t>
      </w:r>
      <w:proofErr w:type="spellStart"/>
      <w:r w:rsidRPr="007C487A">
        <w:rPr>
          <w:szCs w:val="22"/>
        </w:rPr>
        <w:t>antidepresszívumok</w:t>
      </w:r>
      <w:proofErr w:type="spellEnd"/>
      <w:r w:rsidRPr="007C487A">
        <w:rPr>
          <w:szCs w:val="22"/>
        </w:rPr>
        <w:t xml:space="preserve"> egyes toxikus hatásait, pl. a </w:t>
      </w:r>
      <w:proofErr w:type="spellStart"/>
      <w:r w:rsidRPr="007C487A">
        <w:rPr>
          <w:szCs w:val="22"/>
        </w:rPr>
        <w:t>konvulziókat</w:t>
      </w:r>
      <w:proofErr w:type="spellEnd"/>
      <w:r w:rsidRPr="007C487A">
        <w:rPr>
          <w:szCs w:val="22"/>
        </w:rPr>
        <w:t xml:space="preserve"> és a szívritmuszavarokat az egyidejű </w:t>
      </w:r>
      <w:proofErr w:type="spellStart"/>
      <w:r w:rsidRPr="007C487A">
        <w:rPr>
          <w:szCs w:val="22"/>
        </w:rPr>
        <w:t>benzodiazepin</w:t>
      </w:r>
      <w:proofErr w:type="spellEnd"/>
      <w:r w:rsidRPr="007C487A">
        <w:rPr>
          <w:szCs w:val="22"/>
        </w:rPr>
        <w:t xml:space="preserve"> adagolás elfedheti, az </w:t>
      </w:r>
      <w:proofErr w:type="spellStart"/>
      <w:r w:rsidRPr="007C487A">
        <w:rPr>
          <w:szCs w:val="22"/>
        </w:rPr>
        <w:t>Anexate</w:t>
      </w:r>
      <w:proofErr w:type="spellEnd"/>
      <w:r w:rsidRPr="007C487A">
        <w:rPr>
          <w:szCs w:val="22"/>
        </w:rPr>
        <w:t xml:space="preserve"> pedig előhozhatja.</w:t>
      </w:r>
    </w:p>
    <w:p w14:paraId="5B2D7CCA" w14:textId="77777777" w:rsidR="0088272D" w:rsidRPr="007C487A" w:rsidRDefault="0088272D" w:rsidP="0088272D">
      <w:pPr>
        <w:numPr>
          <w:ilvl w:val="0"/>
          <w:numId w:val="3"/>
        </w:numPr>
        <w:tabs>
          <w:tab w:val="clear" w:pos="360"/>
          <w:tab w:val="left" w:pos="600"/>
        </w:tabs>
        <w:suppressAutoHyphens w:val="0"/>
        <w:ind w:left="600" w:hanging="600"/>
        <w:rPr>
          <w:szCs w:val="22"/>
        </w:rPr>
      </w:pPr>
      <w:r w:rsidRPr="007C487A">
        <w:rPr>
          <w:szCs w:val="22"/>
        </w:rPr>
        <w:t xml:space="preserve">Ha a beteg </w:t>
      </w:r>
      <w:proofErr w:type="spellStart"/>
      <w:r w:rsidRPr="007C487A">
        <w:rPr>
          <w:szCs w:val="22"/>
        </w:rPr>
        <w:t>benzodiazepin</w:t>
      </w:r>
      <w:proofErr w:type="spellEnd"/>
      <w:r w:rsidRPr="007C487A">
        <w:rPr>
          <w:szCs w:val="22"/>
        </w:rPr>
        <w:t xml:space="preserve"> hatások megszüntetése céljából kapott </w:t>
      </w:r>
      <w:proofErr w:type="spellStart"/>
      <w:r w:rsidRPr="007C487A">
        <w:rPr>
          <w:szCs w:val="22"/>
        </w:rPr>
        <w:t>Anexate-ot</w:t>
      </w:r>
      <w:proofErr w:type="spellEnd"/>
      <w:r w:rsidRPr="007C487A">
        <w:rPr>
          <w:szCs w:val="22"/>
        </w:rPr>
        <w:t xml:space="preserve">, </w:t>
      </w:r>
      <w:proofErr w:type="spellStart"/>
      <w:r w:rsidRPr="007C487A">
        <w:rPr>
          <w:szCs w:val="22"/>
        </w:rPr>
        <w:t>monitorozni</w:t>
      </w:r>
      <w:proofErr w:type="spellEnd"/>
      <w:r w:rsidRPr="007C487A">
        <w:rPr>
          <w:szCs w:val="22"/>
        </w:rPr>
        <w:t xml:space="preserve"> kell, mert </w:t>
      </w:r>
      <w:proofErr w:type="spellStart"/>
      <w:r w:rsidRPr="007C487A">
        <w:rPr>
          <w:szCs w:val="22"/>
        </w:rPr>
        <w:t>reszedáció</w:t>
      </w:r>
      <w:proofErr w:type="spellEnd"/>
      <w:r w:rsidRPr="007C487A">
        <w:rPr>
          <w:szCs w:val="22"/>
        </w:rPr>
        <w:t xml:space="preserve">, légzésdepresszió vagy más </w:t>
      </w:r>
      <w:proofErr w:type="spellStart"/>
      <w:r w:rsidRPr="007C487A">
        <w:rPr>
          <w:szCs w:val="22"/>
        </w:rPr>
        <w:t>reziduális</w:t>
      </w:r>
      <w:proofErr w:type="spellEnd"/>
      <w:r w:rsidRPr="007C487A">
        <w:rPr>
          <w:szCs w:val="22"/>
        </w:rPr>
        <w:t xml:space="preserve"> </w:t>
      </w:r>
      <w:proofErr w:type="spellStart"/>
      <w:r w:rsidRPr="007C487A">
        <w:rPr>
          <w:szCs w:val="22"/>
        </w:rPr>
        <w:t>benzodiazepin</w:t>
      </w:r>
      <w:proofErr w:type="spellEnd"/>
      <w:r w:rsidRPr="007C487A">
        <w:rPr>
          <w:szCs w:val="22"/>
        </w:rPr>
        <w:t xml:space="preserve"> hatás léphet fel. A </w:t>
      </w:r>
      <w:proofErr w:type="spellStart"/>
      <w:r w:rsidRPr="007C487A">
        <w:rPr>
          <w:szCs w:val="22"/>
        </w:rPr>
        <w:t>monitorozás</w:t>
      </w:r>
      <w:proofErr w:type="spellEnd"/>
      <w:r w:rsidRPr="007C487A">
        <w:rPr>
          <w:szCs w:val="22"/>
        </w:rPr>
        <w:t xml:space="preserve"> időtartama az alkalmazott </w:t>
      </w:r>
      <w:proofErr w:type="spellStart"/>
      <w:r w:rsidRPr="007C487A">
        <w:rPr>
          <w:szCs w:val="22"/>
        </w:rPr>
        <w:t>benzodiazepin</w:t>
      </w:r>
      <w:proofErr w:type="spellEnd"/>
      <w:r w:rsidRPr="007C487A">
        <w:rPr>
          <w:szCs w:val="22"/>
        </w:rPr>
        <w:t xml:space="preserve"> adagjától és hatástartamától függ. Mivel a májkárosodásban szenvedő betegeknél a fentebb leírt hatások késleltetve jelentkezhetnek, a megfigyelés időtartamának kiterjesztése lehet szükséges.</w:t>
      </w:r>
    </w:p>
    <w:p w14:paraId="7B192A9E" w14:textId="77777777" w:rsidR="0088272D" w:rsidRPr="007C487A" w:rsidRDefault="0088272D" w:rsidP="0088272D">
      <w:pPr>
        <w:numPr>
          <w:ilvl w:val="0"/>
          <w:numId w:val="3"/>
        </w:numPr>
        <w:tabs>
          <w:tab w:val="clear" w:pos="360"/>
          <w:tab w:val="left" w:pos="600"/>
        </w:tabs>
        <w:suppressAutoHyphens w:val="0"/>
        <w:ind w:left="601" w:hanging="601"/>
        <w:rPr>
          <w:szCs w:val="22"/>
        </w:rPr>
      </w:pPr>
      <w:r w:rsidRPr="007C487A">
        <w:rPr>
          <w:szCs w:val="22"/>
        </w:rPr>
        <w:t xml:space="preserve">Az </w:t>
      </w:r>
      <w:proofErr w:type="spellStart"/>
      <w:r w:rsidRPr="007C487A">
        <w:rPr>
          <w:szCs w:val="22"/>
        </w:rPr>
        <w:t>Anexate</w:t>
      </w:r>
      <w:proofErr w:type="spellEnd"/>
      <w:r w:rsidRPr="007C487A">
        <w:rPr>
          <w:szCs w:val="22"/>
        </w:rPr>
        <w:t xml:space="preserve"> nem ajánlott a </w:t>
      </w:r>
      <w:proofErr w:type="spellStart"/>
      <w:r w:rsidRPr="007C487A">
        <w:rPr>
          <w:szCs w:val="22"/>
        </w:rPr>
        <w:t>benzodiazepin</w:t>
      </w:r>
      <w:proofErr w:type="spellEnd"/>
      <w:r w:rsidRPr="007C487A">
        <w:rPr>
          <w:szCs w:val="22"/>
        </w:rPr>
        <w:t xml:space="preserve"> </w:t>
      </w:r>
      <w:proofErr w:type="spellStart"/>
      <w:r w:rsidRPr="007C487A">
        <w:rPr>
          <w:szCs w:val="22"/>
        </w:rPr>
        <w:t>dependencia</w:t>
      </w:r>
      <w:proofErr w:type="spellEnd"/>
      <w:r w:rsidRPr="007C487A">
        <w:rPr>
          <w:szCs w:val="22"/>
        </w:rPr>
        <w:t xml:space="preserve"> vagy a tartós </w:t>
      </w:r>
      <w:proofErr w:type="spellStart"/>
      <w:r w:rsidRPr="007C487A">
        <w:rPr>
          <w:szCs w:val="22"/>
        </w:rPr>
        <w:t>benzodiazepin</w:t>
      </w:r>
      <w:proofErr w:type="spellEnd"/>
      <w:r w:rsidRPr="007C487A">
        <w:rPr>
          <w:szCs w:val="22"/>
        </w:rPr>
        <w:t xml:space="preserve"> megvonás szindróma kezelésére.</w:t>
      </w:r>
    </w:p>
    <w:p w14:paraId="0F84FC6B" w14:textId="4B5CF489" w:rsidR="0088272D" w:rsidRPr="007C487A" w:rsidRDefault="00C72F55" w:rsidP="0088272D">
      <w:pPr>
        <w:numPr>
          <w:ilvl w:val="0"/>
          <w:numId w:val="3"/>
        </w:numPr>
        <w:tabs>
          <w:tab w:val="clear" w:pos="360"/>
          <w:tab w:val="left" w:pos="600"/>
        </w:tabs>
        <w:suppressAutoHyphens w:val="0"/>
        <w:ind w:left="600" w:hanging="600"/>
        <w:rPr>
          <w:szCs w:val="22"/>
        </w:rPr>
      </w:pPr>
      <w:r w:rsidRPr="00313FC7">
        <w:rPr>
          <w:szCs w:val="22"/>
        </w:rPr>
        <w:t xml:space="preserve">Az </w:t>
      </w:r>
      <w:proofErr w:type="spellStart"/>
      <w:r w:rsidRPr="00313FC7">
        <w:rPr>
          <w:szCs w:val="22"/>
        </w:rPr>
        <w:t>Anexate</w:t>
      </w:r>
      <w:proofErr w:type="spellEnd"/>
      <w:r w:rsidRPr="00313FC7">
        <w:rPr>
          <w:szCs w:val="22"/>
        </w:rPr>
        <w:t xml:space="preserve"> 0,16 </w:t>
      </w:r>
      <w:proofErr w:type="spellStart"/>
      <w:r w:rsidRPr="00313FC7">
        <w:rPr>
          <w:szCs w:val="22"/>
        </w:rPr>
        <w:t>mmol</w:t>
      </w:r>
      <w:proofErr w:type="spellEnd"/>
      <w:r w:rsidRPr="00313FC7">
        <w:rPr>
          <w:szCs w:val="22"/>
        </w:rPr>
        <w:t xml:space="preserve"> (kb. 3,67 mg) nátriumot tartalmaz milliliterenként, amely kevesebb mint 1 </w:t>
      </w:r>
      <w:proofErr w:type="spellStart"/>
      <w:r w:rsidRPr="00313FC7">
        <w:rPr>
          <w:szCs w:val="22"/>
        </w:rPr>
        <w:t>mmol</w:t>
      </w:r>
      <w:proofErr w:type="spellEnd"/>
      <w:r w:rsidRPr="00313FC7">
        <w:rPr>
          <w:szCs w:val="22"/>
        </w:rPr>
        <w:t xml:space="preserve"> nátrium (23 mg) szokásos adagonként (0,3 -</w:t>
      </w:r>
      <w:r w:rsidR="00555843">
        <w:rPr>
          <w:szCs w:val="22"/>
        </w:rPr>
        <w:t xml:space="preserve"> </w:t>
      </w:r>
      <w:r w:rsidRPr="00313FC7">
        <w:rPr>
          <w:szCs w:val="22"/>
        </w:rPr>
        <w:t xml:space="preserve">0,6 mg </w:t>
      </w:r>
      <w:proofErr w:type="spellStart"/>
      <w:r w:rsidRPr="00313FC7">
        <w:rPr>
          <w:szCs w:val="22"/>
        </w:rPr>
        <w:t>flumazenil</w:t>
      </w:r>
      <w:proofErr w:type="spellEnd"/>
      <w:r w:rsidRPr="00313FC7">
        <w:rPr>
          <w:szCs w:val="22"/>
        </w:rPr>
        <w:t xml:space="preserve">), azaz gyakorlatilag „nátriummentes”. A 0,6 mg-nál nagyobb dózisok több mint 1 </w:t>
      </w:r>
      <w:proofErr w:type="spellStart"/>
      <w:r w:rsidRPr="00313FC7">
        <w:rPr>
          <w:szCs w:val="22"/>
        </w:rPr>
        <w:t>mmol</w:t>
      </w:r>
      <w:proofErr w:type="spellEnd"/>
      <w:r w:rsidRPr="00313FC7">
        <w:rPr>
          <w:szCs w:val="22"/>
        </w:rPr>
        <w:t xml:space="preserve"> nátriumot (23 mg) tartalmaznak. 1 mg </w:t>
      </w:r>
      <w:proofErr w:type="spellStart"/>
      <w:r w:rsidRPr="00313FC7">
        <w:rPr>
          <w:szCs w:val="22"/>
        </w:rPr>
        <w:t>flumazenil</w:t>
      </w:r>
      <w:proofErr w:type="spellEnd"/>
      <w:r w:rsidRPr="00313FC7">
        <w:rPr>
          <w:szCs w:val="22"/>
        </w:rPr>
        <w:t xml:space="preserve"> adag nátriumtartalma megfelel a WHO által ajánlott maximális napi 2 g nátriumbevitel 1,9 %-</w:t>
      </w:r>
      <w:proofErr w:type="spellStart"/>
      <w:r w:rsidRPr="00313FC7">
        <w:rPr>
          <w:szCs w:val="22"/>
        </w:rPr>
        <w:t>ának</w:t>
      </w:r>
      <w:proofErr w:type="spellEnd"/>
      <w:r w:rsidRPr="00313FC7">
        <w:rPr>
          <w:szCs w:val="22"/>
        </w:rPr>
        <w:t xml:space="preserve"> felnőtteknél.</w:t>
      </w:r>
      <w:r w:rsidR="0088272D" w:rsidRPr="007C487A">
        <w:rPr>
          <w:szCs w:val="22"/>
        </w:rPr>
        <w:t xml:space="preserve"> </w:t>
      </w:r>
    </w:p>
    <w:p w14:paraId="7BD442A6" w14:textId="77777777" w:rsidR="0088272D" w:rsidRPr="007C487A" w:rsidRDefault="0088272D" w:rsidP="0088272D">
      <w:pPr>
        <w:suppressAutoHyphens w:val="0"/>
        <w:ind w:left="567" w:hanging="567"/>
        <w:rPr>
          <w:b/>
          <w:szCs w:val="22"/>
          <w:lang w:eastAsia="ja-JP"/>
        </w:rPr>
      </w:pPr>
    </w:p>
    <w:p w14:paraId="190DD9D6" w14:textId="77777777" w:rsidR="0088272D" w:rsidRPr="007C487A" w:rsidRDefault="0088272D" w:rsidP="0088272D">
      <w:pPr>
        <w:suppressAutoHyphens w:val="0"/>
        <w:ind w:left="567" w:hanging="567"/>
        <w:rPr>
          <w:b/>
          <w:szCs w:val="22"/>
          <w:lang w:eastAsia="ja-JP"/>
        </w:rPr>
      </w:pPr>
      <w:r w:rsidRPr="007C487A">
        <w:rPr>
          <w:b/>
          <w:szCs w:val="22"/>
          <w:lang w:eastAsia="ja-JP"/>
        </w:rPr>
        <w:t>4.5</w:t>
      </w:r>
      <w:r w:rsidRPr="007C487A">
        <w:rPr>
          <w:b/>
          <w:szCs w:val="22"/>
          <w:lang w:eastAsia="ja-JP"/>
        </w:rPr>
        <w:tab/>
        <w:t>Gyógyszerkölcsönhatások és egyéb interakciók</w:t>
      </w:r>
    </w:p>
    <w:p w14:paraId="436AA036" w14:textId="77777777" w:rsidR="0088272D" w:rsidRPr="007C487A" w:rsidRDefault="0088272D" w:rsidP="0088272D">
      <w:pPr>
        <w:rPr>
          <w:szCs w:val="22"/>
        </w:rPr>
      </w:pPr>
    </w:p>
    <w:p w14:paraId="6C911DAB" w14:textId="77777777" w:rsidR="0088272D" w:rsidRPr="007C487A" w:rsidRDefault="0088272D" w:rsidP="0088272D">
      <w:pPr>
        <w:suppressAutoHyphens w:val="0"/>
        <w:rPr>
          <w:szCs w:val="22"/>
        </w:rPr>
      </w:pPr>
      <w:r w:rsidRPr="007C487A">
        <w:rPr>
          <w:szCs w:val="22"/>
        </w:rPr>
        <w:t xml:space="preserve">A </w:t>
      </w:r>
      <w:proofErr w:type="spellStart"/>
      <w:r w:rsidRPr="007C487A">
        <w:rPr>
          <w:szCs w:val="22"/>
        </w:rPr>
        <w:t>flumazenil</w:t>
      </w:r>
      <w:proofErr w:type="spellEnd"/>
      <w:r w:rsidRPr="007C487A">
        <w:rPr>
          <w:szCs w:val="22"/>
        </w:rPr>
        <w:t xml:space="preserve"> a receptornál kifejtett kompetitív interakció által </w:t>
      </w:r>
      <w:proofErr w:type="spellStart"/>
      <w:r w:rsidRPr="007C487A">
        <w:rPr>
          <w:szCs w:val="22"/>
        </w:rPr>
        <w:t>antagonizálja</w:t>
      </w:r>
      <w:proofErr w:type="spellEnd"/>
      <w:r w:rsidRPr="007C487A">
        <w:rPr>
          <w:szCs w:val="22"/>
        </w:rPr>
        <w:t xml:space="preserve"> a </w:t>
      </w:r>
      <w:proofErr w:type="spellStart"/>
      <w:r w:rsidRPr="007C487A">
        <w:rPr>
          <w:szCs w:val="22"/>
        </w:rPr>
        <w:t>benzodiazepinek</w:t>
      </w:r>
      <w:proofErr w:type="spellEnd"/>
      <w:r w:rsidRPr="007C487A">
        <w:rPr>
          <w:szCs w:val="22"/>
        </w:rPr>
        <w:t xml:space="preserve"> központi hatásait, hasonlóképpen blokkolja a </w:t>
      </w:r>
      <w:proofErr w:type="spellStart"/>
      <w:r w:rsidRPr="007C487A">
        <w:rPr>
          <w:szCs w:val="22"/>
        </w:rPr>
        <w:t>benzodiazepin</w:t>
      </w:r>
      <w:proofErr w:type="spellEnd"/>
      <w:r w:rsidRPr="007C487A">
        <w:rPr>
          <w:szCs w:val="22"/>
        </w:rPr>
        <w:t xml:space="preserve"> receptorokon ható nem-</w:t>
      </w:r>
      <w:proofErr w:type="spellStart"/>
      <w:r w:rsidRPr="007C487A">
        <w:rPr>
          <w:szCs w:val="22"/>
        </w:rPr>
        <w:t>benzodiazepin</w:t>
      </w:r>
      <w:proofErr w:type="spellEnd"/>
      <w:r w:rsidRPr="007C487A">
        <w:rPr>
          <w:szCs w:val="22"/>
        </w:rPr>
        <w:t xml:space="preserve"> </w:t>
      </w:r>
      <w:proofErr w:type="spellStart"/>
      <w:r w:rsidRPr="007C487A">
        <w:rPr>
          <w:szCs w:val="22"/>
        </w:rPr>
        <w:t>agonisták</w:t>
      </w:r>
      <w:proofErr w:type="spellEnd"/>
      <w:r w:rsidRPr="007C487A">
        <w:rPr>
          <w:szCs w:val="22"/>
        </w:rPr>
        <w:t xml:space="preserve"> (</w:t>
      </w:r>
      <w:proofErr w:type="spellStart"/>
      <w:r w:rsidRPr="007C487A">
        <w:rPr>
          <w:szCs w:val="22"/>
        </w:rPr>
        <w:t>zopiklon</w:t>
      </w:r>
      <w:proofErr w:type="spellEnd"/>
      <w:r w:rsidRPr="007C487A">
        <w:rPr>
          <w:szCs w:val="22"/>
        </w:rPr>
        <w:t xml:space="preserve">, </w:t>
      </w:r>
      <w:proofErr w:type="spellStart"/>
      <w:r w:rsidRPr="007C487A">
        <w:rPr>
          <w:szCs w:val="22"/>
        </w:rPr>
        <w:t>triazolopiridazinok</w:t>
      </w:r>
      <w:proofErr w:type="spellEnd"/>
      <w:r w:rsidRPr="007C487A">
        <w:rPr>
          <w:szCs w:val="22"/>
        </w:rPr>
        <w:t xml:space="preserve"> stb.) hatását. </w:t>
      </w:r>
    </w:p>
    <w:p w14:paraId="162C1219" w14:textId="77777777" w:rsidR="0088272D" w:rsidRPr="007C487A" w:rsidRDefault="0088272D" w:rsidP="0088272D">
      <w:pPr>
        <w:suppressAutoHyphens w:val="0"/>
        <w:rPr>
          <w:szCs w:val="22"/>
        </w:rPr>
      </w:pPr>
      <w:r w:rsidRPr="007C487A">
        <w:rPr>
          <w:szCs w:val="22"/>
        </w:rPr>
        <w:t xml:space="preserve">Egyéb központi idegrendszerben ható szerek és a </w:t>
      </w:r>
      <w:proofErr w:type="spellStart"/>
      <w:r w:rsidRPr="007C487A">
        <w:rPr>
          <w:szCs w:val="22"/>
        </w:rPr>
        <w:t>flumazenil</w:t>
      </w:r>
      <w:proofErr w:type="spellEnd"/>
      <w:r w:rsidRPr="007C487A">
        <w:rPr>
          <w:szCs w:val="22"/>
        </w:rPr>
        <w:t xml:space="preserve"> között nem figyeltek meg kölcsönhatásokat. A </w:t>
      </w:r>
      <w:proofErr w:type="spellStart"/>
      <w:r w:rsidRPr="007C487A">
        <w:rPr>
          <w:szCs w:val="22"/>
        </w:rPr>
        <w:t>benzodiazepinek</w:t>
      </w:r>
      <w:proofErr w:type="spellEnd"/>
      <w:r w:rsidRPr="007C487A">
        <w:rPr>
          <w:szCs w:val="22"/>
        </w:rPr>
        <w:t xml:space="preserve"> </w:t>
      </w:r>
      <w:proofErr w:type="spellStart"/>
      <w:r w:rsidRPr="007C487A">
        <w:rPr>
          <w:szCs w:val="22"/>
        </w:rPr>
        <w:t>farmakokinetikáját</w:t>
      </w:r>
      <w:proofErr w:type="spellEnd"/>
      <w:r w:rsidRPr="007C487A">
        <w:rPr>
          <w:szCs w:val="22"/>
        </w:rPr>
        <w:t xml:space="preserve"> nem befolyásolja a </w:t>
      </w:r>
      <w:proofErr w:type="spellStart"/>
      <w:r w:rsidRPr="007C487A">
        <w:rPr>
          <w:szCs w:val="22"/>
        </w:rPr>
        <w:t>flumazenil</w:t>
      </w:r>
      <w:proofErr w:type="spellEnd"/>
      <w:r w:rsidRPr="007C487A">
        <w:rPr>
          <w:szCs w:val="22"/>
        </w:rPr>
        <w:t>.</w:t>
      </w:r>
    </w:p>
    <w:p w14:paraId="33BF0EFE" w14:textId="77777777" w:rsidR="0088272D" w:rsidRPr="007C487A" w:rsidRDefault="0088272D" w:rsidP="0088272D">
      <w:pPr>
        <w:suppressAutoHyphens w:val="0"/>
        <w:rPr>
          <w:szCs w:val="22"/>
        </w:rPr>
      </w:pPr>
      <w:r w:rsidRPr="007C487A">
        <w:rPr>
          <w:szCs w:val="22"/>
        </w:rPr>
        <w:t xml:space="preserve">A </w:t>
      </w:r>
      <w:proofErr w:type="spellStart"/>
      <w:r w:rsidRPr="007C487A">
        <w:rPr>
          <w:szCs w:val="22"/>
        </w:rPr>
        <w:t>flumazenil</w:t>
      </w:r>
      <w:proofErr w:type="spellEnd"/>
      <w:r w:rsidRPr="007C487A">
        <w:rPr>
          <w:szCs w:val="22"/>
        </w:rPr>
        <w:t xml:space="preserve"> </w:t>
      </w:r>
      <w:proofErr w:type="spellStart"/>
      <w:r w:rsidRPr="007C487A">
        <w:rPr>
          <w:szCs w:val="22"/>
        </w:rPr>
        <w:t>farmakokinetikája</w:t>
      </w:r>
      <w:proofErr w:type="spellEnd"/>
      <w:r w:rsidRPr="007C487A">
        <w:rPr>
          <w:szCs w:val="22"/>
        </w:rPr>
        <w:t xml:space="preserve"> sem változott a </w:t>
      </w:r>
      <w:proofErr w:type="spellStart"/>
      <w:r w:rsidRPr="007C487A">
        <w:rPr>
          <w:szCs w:val="22"/>
        </w:rPr>
        <w:t>benzodiazepinekkel</w:t>
      </w:r>
      <w:proofErr w:type="spellEnd"/>
      <w:r w:rsidRPr="007C487A">
        <w:rPr>
          <w:szCs w:val="22"/>
        </w:rPr>
        <w:t xml:space="preserve"> való egyidejű alkalmazásakor, beleértve a </w:t>
      </w:r>
      <w:proofErr w:type="spellStart"/>
      <w:r w:rsidRPr="007C487A">
        <w:rPr>
          <w:szCs w:val="22"/>
        </w:rPr>
        <w:t>midazolamot</w:t>
      </w:r>
      <w:proofErr w:type="spellEnd"/>
      <w:r w:rsidRPr="007C487A">
        <w:rPr>
          <w:szCs w:val="22"/>
        </w:rPr>
        <w:t xml:space="preserve">, a </w:t>
      </w:r>
      <w:proofErr w:type="spellStart"/>
      <w:r w:rsidRPr="007C487A">
        <w:rPr>
          <w:szCs w:val="22"/>
        </w:rPr>
        <w:t>flunitrazepamot</w:t>
      </w:r>
      <w:proofErr w:type="spellEnd"/>
      <w:r w:rsidRPr="007C487A">
        <w:rPr>
          <w:szCs w:val="22"/>
        </w:rPr>
        <w:t xml:space="preserve"> és a </w:t>
      </w:r>
      <w:proofErr w:type="spellStart"/>
      <w:r w:rsidRPr="007C487A">
        <w:rPr>
          <w:szCs w:val="22"/>
        </w:rPr>
        <w:t>lormetazepamot</w:t>
      </w:r>
      <w:proofErr w:type="spellEnd"/>
      <w:r w:rsidRPr="007C487A">
        <w:rPr>
          <w:szCs w:val="22"/>
        </w:rPr>
        <w:t>.</w:t>
      </w:r>
    </w:p>
    <w:p w14:paraId="43AEEBCF" w14:textId="77777777" w:rsidR="0088272D" w:rsidRPr="007C487A" w:rsidRDefault="0088272D" w:rsidP="0088272D">
      <w:pPr>
        <w:suppressAutoHyphens w:val="0"/>
        <w:rPr>
          <w:szCs w:val="22"/>
        </w:rPr>
      </w:pPr>
      <w:r w:rsidRPr="007C487A">
        <w:rPr>
          <w:szCs w:val="22"/>
        </w:rPr>
        <w:t xml:space="preserve">Nincsen </w:t>
      </w:r>
      <w:proofErr w:type="spellStart"/>
      <w:r w:rsidRPr="007C487A">
        <w:rPr>
          <w:szCs w:val="22"/>
        </w:rPr>
        <w:t>farmakokinetikai</w:t>
      </w:r>
      <w:proofErr w:type="spellEnd"/>
      <w:r w:rsidRPr="007C487A">
        <w:rPr>
          <w:szCs w:val="22"/>
        </w:rPr>
        <w:t xml:space="preserve"> kölcsönhatás az etanol és a </w:t>
      </w:r>
      <w:proofErr w:type="spellStart"/>
      <w:r w:rsidRPr="007C487A">
        <w:rPr>
          <w:szCs w:val="22"/>
        </w:rPr>
        <w:t>flumazenil</w:t>
      </w:r>
      <w:proofErr w:type="spellEnd"/>
      <w:r w:rsidRPr="007C487A">
        <w:rPr>
          <w:szCs w:val="22"/>
        </w:rPr>
        <w:t xml:space="preserve"> egyidejű alkalmazásakor.</w:t>
      </w:r>
    </w:p>
    <w:p w14:paraId="28992D42" w14:textId="77777777" w:rsidR="0088272D" w:rsidRPr="007C487A" w:rsidRDefault="0088272D" w:rsidP="0088272D">
      <w:pPr>
        <w:suppressAutoHyphens w:val="0"/>
        <w:rPr>
          <w:szCs w:val="22"/>
        </w:rPr>
      </w:pPr>
    </w:p>
    <w:p w14:paraId="1769F447" w14:textId="77777777" w:rsidR="0088272D" w:rsidRPr="007C487A" w:rsidRDefault="0088272D" w:rsidP="0088272D">
      <w:pPr>
        <w:suppressAutoHyphens w:val="0"/>
        <w:ind w:left="567" w:hanging="567"/>
        <w:rPr>
          <w:b/>
          <w:szCs w:val="22"/>
          <w:lang w:eastAsia="ja-JP"/>
        </w:rPr>
      </w:pPr>
      <w:r w:rsidRPr="007C487A">
        <w:rPr>
          <w:b/>
          <w:szCs w:val="22"/>
          <w:lang w:eastAsia="ja-JP"/>
        </w:rPr>
        <w:t>4.6</w:t>
      </w:r>
      <w:r w:rsidRPr="007C487A">
        <w:rPr>
          <w:b/>
          <w:szCs w:val="22"/>
          <w:lang w:eastAsia="ja-JP"/>
        </w:rPr>
        <w:tab/>
        <w:t>Termékenység, terhesség és szoptatás</w:t>
      </w:r>
    </w:p>
    <w:p w14:paraId="56CCFD37" w14:textId="77777777" w:rsidR="0088272D" w:rsidRPr="007C487A" w:rsidRDefault="0088272D" w:rsidP="0088272D">
      <w:pPr>
        <w:rPr>
          <w:b/>
          <w:szCs w:val="22"/>
        </w:rPr>
      </w:pPr>
    </w:p>
    <w:p w14:paraId="111B1461" w14:textId="77777777" w:rsidR="0088272D" w:rsidRPr="007C487A" w:rsidRDefault="0088272D" w:rsidP="0088272D">
      <w:pPr>
        <w:suppressAutoHyphens w:val="0"/>
        <w:rPr>
          <w:szCs w:val="22"/>
        </w:rPr>
      </w:pPr>
      <w:r w:rsidRPr="007C487A">
        <w:rPr>
          <w:szCs w:val="22"/>
        </w:rPr>
        <w:t xml:space="preserve">Humán terhességen való alkalmazásával kapcsolatban nem áll elegendő adat rendelkezésre ahhoz, hogy a magzatra gyakorolt hatékonyságot és potenciális kockázatokat értékelni lehessen. Emiatt óvatosság szükséges. Ezidáig állatkísérletekben nem mutatott mutagén, </w:t>
      </w:r>
      <w:proofErr w:type="spellStart"/>
      <w:r w:rsidRPr="007C487A">
        <w:rPr>
          <w:szCs w:val="22"/>
        </w:rPr>
        <w:t>embriotoxikus</w:t>
      </w:r>
      <w:proofErr w:type="spellEnd"/>
      <w:r w:rsidRPr="007C487A">
        <w:rPr>
          <w:szCs w:val="22"/>
        </w:rPr>
        <w:t xml:space="preserve">, </w:t>
      </w:r>
      <w:proofErr w:type="spellStart"/>
      <w:r w:rsidRPr="007C487A">
        <w:rPr>
          <w:szCs w:val="22"/>
        </w:rPr>
        <w:t>teratogén</w:t>
      </w:r>
      <w:proofErr w:type="spellEnd"/>
      <w:r w:rsidRPr="007C487A">
        <w:rPr>
          <w:szCs w:val="22"/>
        </w:rPr>
        <w:t xml:space="preserve"> vagy fertilitást befolyásoló hatást. A magzati hatékonyságot állatkísérletekben nem vizsgálták.</w:t>
      </w:r>
    </w:p>
    <w:p w14:paraId="56E98835" w14:textId="77777777" w:rsidR="0088272D" w:rsidRPr="007C487A" w:rsidRDefault="0088272D" w:rsidP="0088272D">
      <w:pPr>
        <w:suppressAutoHyphens w:val="0"/>
        <w:rPr>
          <w:szCs w:val="22"/>
        </w:rPr>
      </w:pPr>
      <w:r w:rsidRPr="007C487A">
        <w:rPr>
          <w:szCs w:val="22"/>
        </w:rPr>
        <w:t xml:space="preserve">Nem ismert, hogy a </w:t>
      </w:r>
      <w:proofErr w:type="spellStart"/>
      <w:r w:rsidRPr="007C487A">
        <w:rPr>
          <w:szCs w:val="22"/>
        </w:rPr>
        <w:t>flumazenil</w:t>
      </w:r>
      <w:proofErr w:type="spellEnd"/>
      <w:r w:rsidRPr="007C487A">
        <w:rPr>
          <w:szCs w:val="22"/>
        </w:rPr>
        <w:t xml:space="preserve"> átjut-e az anyatejbe. Sürgős esetben azonban az </w:t>
      </w:r>
      <w:proofErr w:type="spellStart"/>
      <w:r w:rsidRPr="007C487A">
        <w:rPr>
          <w:szCs w:val="22"/>
        </w:rPr>
        <w:t>Anexate</w:t>
      </w:r>
      <w:proofErr w:type="spellEnd"/>
      <w:r w:rsidRPr="007C487A">
        <w:rPr>
          <w:szCs w:val="22"/>
        </w:rPr>
        <w:t xml:space="preserve"> </w:t>
      </w:r>
      <w:proofErr w:type="spellStart"/>
      <w:r w:rsidRPr="007C487A">
        <w:rPr>
          <w:szCs w:val="22"/>
        </w:rPr>
        <w:t>parenterális</w:t>
      </w:r>
      <w:proofErr w:type="spellEnd"/>
      <w:r w:rsidRPr="007C487A">
        <w:rPr>
          <w:szCs w:val="22"/>
        </w:rPr>
        <w:t xml:space="preserve"> alkalmazása nem ellenjavallt szoptató betegeknél.</w:t>
      </w:r>
      <w:r w:rsidRPr="007C487A" w:rsidDel="006E6F21">
        <w:rPr>
          <w:szCs w:val="22"/>
        </w:rPr>
        <w:t xml:space="preserve"> </w:t>
      </w:r>
    </w:p>
    <w:p w14:paraId="0B09391F" w14:textId="77777777" w:rsidR="002F4F52" w:rsidRDefault="002F4F52" w:rsidP="001D443C">
      <w:pPr>
        <w:suppressAutoHyphens w:val="0"/>
        <w:rPr>
          <w:b/>
          <w:szCs w:val="22"/>
          <w:lang w:eastAsia="ja-JP"/>
        </w:rPr>
      </w:pPr>
    </w:p>
    <w:p w14:paraId="263C14A0" w14:textId="109DA680" w:rsidR="0088272D" w:rsidRPr="007C487A" w:rsidRDefault="0088272D" w:rsidP="0088272D">
      <w:pPr>
        <w:suppressAutoHyphens w:val="0"/>
        <w:ind w:left="567" w:hanging="567"/>
        <w:rPr>
          <w:b/>
          <w:szCs w:val="22"/>
          <w:lang w:eastAsia="ja-JP"/>
        </w:rPr>
      </w:pPr>
      <w:r w:rsidRPr="007C487A">
        <w:rPr>
          <w:b/>
          <w:szCs w:val="22"/>
          <w:lang w:eastAsia="ja-JP"/>
        </w:rPr>
        <w:t>4.7</w:t>
      </w:r>
      <w:r w:rsidRPr="007C487A">
        <w:rPr>
          <w:b/>
          <w:szCs w:val="22"/>
          <w:lang w:eastAsia="ja-JP"/>
        </w:rPr>
        <w:tab/>
        <w:t>A készítmény hatásai a gépjárművezetéshez és a gépek kezeléséhez szükséges képességekre</w:t>
      </w:r>
    </w:p>
    <w:p w14:paraId="69F00B73" w14:textId="77777777" w:rsidR="0088272D" w:rsidRPr="007C487A" w:rsidRDefault="0088272D" w:rsidP="0088272D">
      <w:pPr>
        <w:pStyle w:val="Szvegtrzs"/>
        <w:spacing w:line="240" w:lineRule="auto"/>
        <w:rPr>
          <w:sz w:val="22"/>
          <w:szCs w:val="22"/>
          <w:lang w:val="hu-HU"/>
        </w:rPr>
      </w:pPr>
    </w:p>
    <w:p w14:paraId="38F42600" w14:textId="77777777" w:rsidR="0088272D" w:rsidRPr="007C487A" w:rsidRDefault="0088272D" w:rsidP="0088272D">
      <w:pPr>
        <w:pStyle w:val="Szvegtrzs"/>
        <w:suppressAutoHyphens w:val="0"/>
        <w:spacing w:line="240" w:lineRule="auto"/>
        <w:rPr>
          <w:sz w:val="22"/>
          <w:szCs w:val="22"/>
          <w:lang w:val="hu-HU"/>
        </w:rPr>
      </w:pPr>
      <w:r w:rsidRPr="007C487A">
        <w:rPr>
          <w:sz w:val="22"/>
          <w:szCs w:val="22"/>
          <w:lang w:val="hu-HU"/>
        </w:rPr>
        <w:t xml:space="preserve">Bár a betegek </w:t>
      </w:r>
      <w:proofErr w:type="spellStart"/>
      <w:r w:rsidRPr="007C487A">
        <w:rPr>
          <w:sz w:val="22"/>
          <w:szCs w:val="22"/>
          <w:lang w:val="hu-HU"/>
        </w:rPr>
        <w:t>éberek</w:t>
      </w:r>
      <w:proofErr w:type="spellEnd"/>
      <w:r w:rsidRPr="007C487A">
        <w:rPr>
          <w:sz w:val="22"/>
          <w:szCs w:val="22"/>
          <w:lang w:val="hu-HU"/>
        </w:rPr>
        <w:t xml:space="preserve"> és öntudatuknál vannak intravénás </w:t>
      </w:r>
      <w:proofErr w:type="spellStart"/>
      <w:r w:rsidRPr="007C487A">
        <w:rPr>
          <w:sz w:val="22"/>
          <w:szCs w:val="22"/>
          <w:lang w:val="hu-HU"/>
        </w:rPr>
        <w:t>Anexate</w:t>
      </w:r>
      <w:proofErr w:type="spellEnd"/>
      <w:r w:rsidRPr="007C487A">
        <w:rPr>
          <w:sz w:val="22"/>
          <w:szCs w:val="22"/>
          <w:lang w:val="hu-HU"/>
        </w:rPr>
        <w:t xml:space="preserve"> injekció után, mégis figyelmeztetni kell őket, hogy az injekció beadása után legalább 24 órán át járművet vezetni, vagy baleseti veszéllyel járó munkát végezni tilos, mert az eredetileg bevett vagy beadott </w:t>
      </w:r>
      <w:proofErr w:type="spellStart"/>
      <w:r w:rsidRPr="007C487A">
        <w:rPr>
          <w:sz w:val="22"/>
          <w:szCs w:val="22"/>
          <w:lang w:val="hu-HU"/>
        </w:rPr>
        <w:t>benzodiazepin</w:t>
      </w:r>
      <w:proofErr w:type="spellEnd"/>
      <w:r w:rsidRPr="007C487A">
        <w:rPr>
          <w:sz w:val="22"/>
          <w:szCs w:val="22"/>
          <w:lang w:val="hu-HU"/>
        </w:rPr>
        <w:t xml:space="preserve"> hatása visszatérhet (pl. </w:t>
      </w:r>
      <w:proofErr w:type="spellStart"/>
      <w:r w:rsidRPr="007C487A">
        <w:rPr>
          <w:sz w:val="22"/>
          <w:szCs w:val="22"/>
          <w:lang w:val="hu-HU"/>
        </w:rPr>
        <w:t>szedáció</w:t>
      </w:r>
      <w:proofErr w:type="spellEnd"/>
      <w:r w:rsidRPr="007C487A">
        <w:rPr>
          <w:sz w:val="22"/>
          <w:szCs w:val="22"/>
          <w:lang w:val="hu-HU"/>
        </w:rPr>
        <w:t>).</w:t>
      </w:r>
    </w:p>
    <w:p w14:paraId="0962A512" w14:textId="77777777" w:rsidR="0088272D" w:rsidRPr="007C487A" w:rsidRDefault="0088272D" w:rsidP="0088272D">
      <w:pPr>
        <w:rPr>
          <w:szCs w:val="22"/>
        </w:rPr>
      </w:pPr>
    </w:p>
    <w:p w14:paraId="28635990" w14:textId="77777777" w:rsidR="0088272D" w:rsidRPr="007C487A" w:rsidRDefault="0088272D" w:rsidP="0088272D">
      <w:pPr>
        <w:suppressAutoHyphens w:val="0"/>
        <w:ind w:left="567" w:hanging="567"/>
        <w:rPr>
          <w:b/>
          <w:szCs w:val="22"/>
          <w:lang w:eastAsia="ja-JP"/>
        </w:rPr>
      </w:pPr>
      <w:r w:rsidRPr="007C487A">
        <w:rPr>
          <w:b/>
          <w:szCs w:val="22"/>
          <w:lang w:eastAsia="ja-JP"/>
        </w:rPr>
        <w:t>4.8</w:t>
      </w:r>
      <w:r w:rsidRPr="007C487A">
        <w:rPr>
          <w:b/>
          <w:szCs w:val="22"/>
          <w:lang w:eastAsia="ja-JP"/>
        </w:rPr>
        <w:tab/>
        <w:t>Nemkívánatos hatások, mellékhatások</w:t>
      </w:r>
    </w:p>
    <w:p w14:paraId="066FC1BB" w14:textId="77777777" w:rsidR="0088272D" w:rsidRPr="007C487A" w:rsidRDefault="0088272D" w:rsidP="0088272D">
      <w:pPr>
        <w:rPr>
          <w:szCs w:val="22"/>
          <w:shd w:val="clear" w:color="auto" w:fill="FFFF00"/>
        </w:rPr>
      </w:pPr>
    </w:p>
    <w:p w14:paraId="0867E34D" w14:textId="77777777" w:rsidR="0088272D" w:rsidRPr="007C487A" w:rsidRDefault="0088272D" w:rsidP="0088272D">
      <w:pPr>
        <w:rPr>
          <w:szCs w:val="22"/>
        </w:rPr>
      </w:pPr>
      <w:r w:rsidRPr="007C487A">
        <w:rPr>
          <w:szCs w:val="22"/>
        </w:rPr>
        <w:t>Az alább felsorolt nemkívánatos hatásokról számoltak be. A nemkívánatos hatások általában rövid időn belül, speciális kezelés nélkül megszűnnek.</w:t>
      </w:r>
    </w:p>
    <w:p w14:paraId="1487B593" w14:textId="77777777" w:rsidR="0088272D" w:rsidRPr="007C487A" w:rsidRDefault="0088272D" w:rsidP="0088272D">
      <w:pPr>
        <w:tabs>
          <w:tab w:val="left" w:pos="567"/>
        </w:tabs>
        <w:rPr>
          <w:szCs w:val="22"/>
        </w:rPr>
      </w:pPr>
      <w:r w:rsidRPr="007C487A">
        <w:rPr>
          <w:szCs w:val="22"/>
        </w:rPr>
        <w:t>Az egyes gyakorisági kategóriák az alábbiak szerint kerültek megadásra: nagyon gyakori (</w:t>
      </w:r>
      <w:r w:rsidRPr="007C487A">
        <w:rPr>
          <w:szCs w:val="22"/>
          <w:lang w:eastAsia="en-US"/>
        </w:rPr>
        <w:t>≥</w:t>
      </w:r>
      <w:r w:rsidRPr="007C487A">
        <w:rPr>
          <w:szCs w:val="22"/>
        </w:rPr>
        <w:t>1/10); gyakori (</w:t>
      </w:r>
      <w:r w:rsidRPr="007C487A">
        <w:rPr>
          <w:szCs w:val="22"/>
          <w:lang w:eastAsia="en-US"/>
        </w:rPr>
        <w:t>≥1/100 - &lt;1/10); nem gyakori (≥1/1000 - &lt;1/100); ritka (</w:t>
      </w:r>
      <w:bookmarkStart w:id="3" w:name="OLE_LINK3"/>
      <w:bookmarkStart w:id="4" w:name="OLE_LINK4"/>
      <w:r w:rsidRPr="007C487A">
        <w:rPr>
          <w:szCs w:val="22"/>
          <w:lang w:eastAsia="en-US"/>
        </w:rPr>
        <w:t>≥</w:t>
      </w:r>
      <w:bookmarkEnd w:id="3"/>
      <w:bookmarkEnd w:id="4"/>
      <w:r w:rsidRPr="007C487A">
        <w:rPr>
          <w:szCs w:val="22"/>
          <w:lang w:eastAsia="en-US"/>
        </w:rPr>
        <w:t>1/10 000 - &lt;1/1000); nagyon ritka (&lt;1/</w:t>
      </w:r>
      <w:r w:rsidRPr="007C487A">
        <w:rPr>
          <w:szCs w:val="22"/>
        </w:rPr>
        <w:t>10 000</w:t>
      </w:r>
      <w:r w:rsidRPr="007C487A">
        <w:rPr>
          <w:szCs w:val="22"/>
          <w:lang w:eastAsia="en-US"/>
        </w:rPr>
        <w:t>), nem ismert (a rendelkezésre álló adatokból nem állapítható meg).</w:t>
      </w:r>
    </w:p>
    <w:p w14:paraId="354D8F83" w14:textId="77777777" w:rsidR="0088272D" w:rsidRPr="007C487A" w:rsidRDefault="0088272D" w:rsidP="0088272D">
      <w:pPr>
        <w:autoSpaceDE w:val="0"/>
        <w:autoSpaceDN w:val="0"/>
        <w:adjustRightInd w:val="0"/>
        <w:rPr>
          <w:b/>
          <w:szCs w:val="22"/>
        </w:rPr>
      </w:pPr>
    </w:p>
    <w:p w14:paraId="7B875686" w14:textId="77777777" w:rsidR="0088272D" w:rsidRPr="007C487A" w:rsidRDefault="0088272D" w:rsidP="0088272D">
      <w:pPr>
        <w:autoSpaceDE w:val="0"/>
        <w:autoSpaceDN w:val="0"/>
        <w:adjustRightInd w:val="0"/>
        <w:rPr>
          <w:b/>
          <w:szCs w:val="22"/>
        </w:rPr>
      </w:pPr>
      <w:r w:rsidRPr="007C487A">
        <w:rPr>
          <w:b/>
          <w:szCs w:val="22"/>
        </w:rPr>
        <w:t>Immunrendszeri betegségek és tünetek</w:t>
      </w:r>
    </w:p>
    <w:p w14:paraId="120F4CE4" w14:textId="77777777" w:rsidR="0088272D" w:rsidRPr="007C487A" w:rsidRDefault="0088272D" w:rsidP="0088272D">
      <w:pPr>
        <w:autoSpaceDE w:val="0"/>
        <w:autoSpaceDN w:val="0"/>
        <w:adjustRightInd w:val="0"/>
        <w:rPr>
          <w:color w:val="000000"/>
          <w:szCs w:val="22"/>
        </w:rPr>
      </w:pPr>
      <w:r w:rsidRPr="007C487A">
        <w:rPr>
          <w:color w:val="000000"/>
          <w:szCs w:val="22"/>
        </w:rPr>
        <w:t>Nem ismert:</w:t>
      </w:r>
      <w:r w:rsidRPr="007C487A">
        <w:rPr>
          <w:szCs w:val="22"/>
        </w:rPr>
        <w:t xml:space="preserve"> </w:t>
      </w:r>
      <w:r w:rsidRPr="007C487A">
        <w:rPr>
          <w:color w:val="000000"/>
          <w:szCs w:val="22"/>
        </w:rPr>
        <w:t xml:space="preserve">túlérzékenységi reakciók, beleértve az </w:t>
      </w:r>
      <w:proofErr w:type="spellStart"/>
      <w:r w:rsidRPr="007C487A">
        <w:rPr>
          <w:color w:val="000000"/>
          <w:szCs w:val="22"/>
        </w:rPr>
        <w:t>anafilaxiás</w:t>
      </w:r>
      <w:proofErr w:type="spellEnd"/>
      <w:r w:rsidRPr="007C487A">
        <w:rPr>
          <w:color w:val="000000"/>
          <w:szCs w:val="22"/>
        </w:rPr>
        <w:t xml:space="preserve"> reakciót</w:t>
      </w:r>
    </w:p>
    <w:p w14:paraId="70058431" w14:textId="77777777" w:rsidR="0088272D" w:rsidRPr="007C487A" w:rsidRDefault="0088272D" w:rsidP="0088272D">
      <w:pPr>
        <w:autoSpaceDE w:val="0"/>
        <w:autoSpaceDN w:val="0"/>
        <w:adjustRightInd w:val="0"/>
        <w:rPr>
          <w:b/>
          <w:szCs w:val="22"/>
        </w:rPr>
      </w:pPr>
    </w:p>
    <w:p w14:paraId="1EAD42F0" w14:textId="77777777" w:rsidR="0088272D" w:rsidRPr="007C487A" w:rsidRDefault="0088272D" w:rsidP="0088272D">
      <w:pPr>
        <w:autoSpaceDE w:val="0"/>
        <w:autoSpaceDN w:val="0"/>
        <w:adjustRightInd w:val="0"/>
        <w:rPr>
          <w:b/>
          <w:bCs/>
          <w:color w:val="000000"/>
          <w:szCs w:val="22"/>
        </w:rPr>
      </w:pPr>
      <w:r w:rsidRPr="007C487A">
        <w:rPr>
          <w:b/>
          <w:szCs w:val="22"/>
        </w:rPr>
        <w:t>Pszichiátriai kórképek</w:t>
      </w:r>
    </w:p>
    <w:p w14:paraId="77EDC3D5" w14:textId="77777777" w:rsidR="0088272D" w:rsidRPr="007C487A" w:rsidRDefault="0088272D" w:rsidP="0088272D">
      <w:pPr>
        <w:autoSpaceDE w:val="0"/>
        <w:autoSpaceDN w:val="0"/>
        <w:adjustRightInd w:val="0"/>
        <w:rPr>
          <w:color w:val="000000"/>
          <w:szCs w:val="22"/>
        </w:rPr>
      </w:pPr>
      <w:r w:rsidRPr="007C487A">
        <w:rPr>
          <w:color w:val="000000"/>
          <w:szCs w:val="22"/>
        </w:rPr>
        <w:t xml:space="preserve">Nem gyakori: szorongás, félelem az </w:t>
      </w:r>
      <w:proofErr w:type="spellStart"/>
      <w:r w:rsidRPr="007C487A">
        <w:rPr>
          <w:szCs w:val="22"/>
        </w:rPr>
        <w:t>Anexate</w:t>
      </w:r>
      <w:proofErr w:type="spellEnd"/>
      <w:r w:rsidRPr="007C487A">
        <w:rPr>
          <w:szCs w:val="22"/>
        </w:rPr>
        <w:t xml:space="preserve"> </w:t>
      </w:r>
      <w:r w:rsidRPr="007C487A">
        <w:rPr>
          <w:color w:val="000000"/>
          <w:szCs w:val="22"/>
        </w:rPr>
        <w:t>gyors beadása után, amely általában nem igényelt kezelést.</w:t>
      </w:r>
    </w:p>
    <w:p w14:paraId="777EA9A1" w14:textId="77777777" w:rsidR="0088272D" w:rsidRPr="007C487A" w:rsidRDefault="0088272D" w:rsidP="0088272D">
      <w:pPr>
        <w:suppressAutoHyphens w:val="0"/>
        <w:rPr>
          <w:szCs w:val="22"/>
        </w:rPr>
      </w:pPr>
      <w:r w:rsidRPr="007C487A">
        <w:rPr>
          <w:color w:val="000000"/>
          <w:szCs w:val="22"/>
        </w:rPr>
        <w:t>Nem ismert: megvonási tünetek, mint pl. agitáció, szorongás, emocionális labilitás, zavartság, szenzoros zavarok</w:t>
      </w:r>
      <w:r w:rsidRPr="007C487A">
        <w:rPr>
          <w:szCs w:val="22"/>
        </w:rPr>
        <w:t xml:space="preserve"> </w:t>
      </w:r>
      <w:r w:rsidRPr="007C487A">
        <w:rPr>
          <w:color w:val="000000"/>
          <w:szCs w:val="22"/>
        </w:rPr>
        <w:t xml:space="preserve">1 mg vagy nagyobb adag gyors beadását követően azoknál a betegeknél, akik az </w:t>
      </w:r>
      <w:proofErr w:type="spellStart"/>
      <w:r w:rsidRPr="007C487A">
        <w:rPr>
          <w:szCs w:val="22"/>
        </w:rPr>
        <w:t>Anexate</w:t>
      </w:r>
      <w:proofErr w:type="spellEnd"/>
      <w:r w:rsidRPr="007C487A">
        <w:rPr>
          <w:szCs w:val="22"/>
        </w:rPr>
        <w:t xml:space="preserve"> </w:t>
      </w:r>
      <w:r w:rsidRPr="007C487A">
        <w:rPr>
          <w:szCs w:val="22"/>
          <w:lang w:eastAsia="de-DE"/>
        </w:rPr>
        <w:t xml:space="preserve">alkalmazását megelőző hetekben bármikor nagy adag </w:t>
      </w:r>
      <w:proofErr w:type="spellStart"/>
      <w:r w:rsidRPr="007C487A">
        <w:rPr>
          <w:color w:val="000000"/>
          <w:szCs w:val="22"/>
        </w:rPr>
        <w:t>benzodiazepint</w:t>
      </w:r>
      <w:proofErr w:type="spellEnd"/>
      <w:r w:rsidRPr="007C487A">
        <w:rPr>
          <w:color w:val="000000"/>
          <w:szCs w:val="22"/>
        </w:rPr>
        <w:t xml:space="preserve"> kaptak és/vagy hosszan tartó </w:t>
      </w:r>
      <w:proofErr w:type="spellStart"/>
      <w:r w:rsidRPr="007C487A">
        <w:rPr>
          <w:color w:val="000000"/>
          <w:szCs w:val="22"/>
        </w:rPr>
        <w:t>benzodiazepin</w:t>
      </w:r>
      <w:proofErr w:type="spellEnd"/>
      <w:r w:rsidRPr="007C487A">
        <w:rPr>
          <w:color w:val="000000"/>
          <w:szCs w:val="22"/>
        </w:rPr>
        <w:t xml:space="preserve"> kezelésben részesü</w:t>
      </w:r>
      <w:r w:rsidRPr="007C487A">
        <w:rPr>
          <w:szCs w:val="22"/>
        </w:rPr>
        <w:t>ltek (lásd 4.4 pont); pánik rohamok (amennyiben már előfordult pánik roham korábban); kóros sírás, agitáció, agresszív reakciók.</w:t>
      </w:r>
    </w:p>
    <w:p w14:paraId="513E6B04" w14:textId="77777777" w:rsidR="0088272D" w:rsidRPr="007C487A" w:rsidRDefault="0088272D" w:rsidP="0088272D">
      <w:pPr>
        <w:suppressAutoHyphens w:val="0"/>
        <w:rPr>
          <w:szCs w:val="22"/>
        </w:rPr>
      </w:pPr>
    </w:p>
    <w:p w14:paraId="629C5716" w14:textId="77777777" w:rsidR="0088272D" w:rsidRPr="007C487A" w:rsidRDefault="0088272D" w:rsidP="0088272D">
      <w:pPr>
        <w:suppressAutoHyphens w:val="0"/>
        <w:rPr>
          <w:szCs w:val="22"/>
        </w:rPr>
      </w:pPr>
      <w:r w:rsidRPr="007C487A">
        <w:rPr>
          <w:szCs w:val="22"/>
        </w:rPr>
        <w:t xml:space="preserve">Gyermekeknél a mellékhatások általában a felnőtteknél észleltekhez hasonlóak. Beszámoltak kóros sírásról, agitációról és agresszív reakciókról az ‘éber’ </w:t>
      </w:r>
      <w:proofErr w:type="spellStart"/>
      <w:r w:rsidRPr="007C487A">
        <w:rPr>
          <w:szCs w:val="22"/>
        </w:rPr>
        <w:t>szedálás</w:t>
      </w:r>
      <w:proofErr w:type="spellEnd"/>
      <w:r w:rsidRPr="007C487A">
        <w:rPr>
          <w:szCs w:val="22"/>
        </w:rPr>
        <w:t xml:space="preserve"> felfüggesztése céljából alkalmazott </w:t>
      </w:r>
      <w:proofErr w:type="spellStart"/>
      <w:r w:rsidRPr="007C487A">
        <w:rPr>
          <w:szCs w:val="22"/>
        </w:rPr>
        <w:t>Anexate</w:t>
      </w:r>
      <w:proofErr w:type="spellEnd"/>
      <w:r w:rsidRPr="007C487A">
        <w:rPr>
          <w:szCs w:val="22"/>
        </w:rPr>
        <w:t xml:space="preserve"> adagolása után.</w:t>
      </w:r>
    </w:p>
    <w:p w14:paraId="22C5D0A5" w14:textId="77777777" w:rsidR="0088272D" w:rsidRPr="007C487A" w:rsidRDefault="0088272D" w:rsidP="0088272D">
      <w:pPr>
        <w:rPr>
          <w:color w:val="000000"/>
          <w:szCs w:val="22"/>
        </w:rPr>
      </w:pPr>
    </w:p>
    <w:p w14:paraId="19E201C4" w14:textId="77777777" w:rsidR="0088272D" w:rsidRPr="007C487A" w:rsidRDefault="0088272D" w:rsidP="0088272D">
      <w:pPr>
        <w:autoSpaceDE w:val="0"/>
        <w:autoSpaceDN w:val="0"/>
        <w:adjustRightInd w:val="0"/>
        <w:rPr>
          <w:b/>
          <w:bCs/>
          <w:color w:val="000000"/>
          <w:szCs w:val="22"/>
        </w:rPr>
      </w:pPr>
      <w:r w:rsidRPr="007C487A">
        <w:rPr>
          <w:b/>
          <w:szCs w:val="22"/>
        </w:rPr>
        <w:t>Idegrendszeri betegségek és tünetek</w:t>
      </w:r>
    </w:p>
    <w:p w14:paraId="0E6A7C0C" w14:textId="77777777" w:rsidR="0088272D" w:rsidRPr="007C487A" w:rsidRDefault="0088272D" w:rsidP="0088272D">
      <w:pPr>
        <w:autoSpaceDE w:val="0"/>
        <w:autoSpaceDN w:val="0"/>
        <w:adjustRightInd w:val="0"/>
        <w:rPr>
          <w:color w:val="000000"/>
          <w:szCs w:val="22"/>
        </w:rPr>
      </w:pPr>
      <w:r w:rsidRPr="007C487A">
        <w:rPr>
          <w:color w:val="000000"/>
          <w:szCs w:val="22"/>
        </w:rPr>
        <w:t xml:space="preserve">Nem ismert: epilepsziás rohamok főként ismert epilepsziás betegeknél vagy súlyos májműködési zavar fennállása esetén, főként hosszú távú </w:t>
      </w:r>
      <w:proofErr w:type="spellStart"/>
      <w:r w:rsidRPr="007C487A">
        <w:rPr>
          <w:color w:val="000000"/>
          <w:szCs w:val="22"/>
        </w:rPr>
        <w:t>benzodiazepin</w:t>
      </w:r>
      <w:proofErr w:type="spellEnd"/>
      <w:r w:rsidRPr="007C487A">
        <w:rPr>
          <w:color w:val="000000"/>
          <w:szCs w:val="22"/>
        </w:rPr>
        <w:t xml:space="preserve"> kezelés után vagy több különböző gyógyszer egyidejű túladagolása esetén (lásd 4.4 pont).</w:t>
      </w:r>
    </w:p>
    <w:p w14:paraId="2625828C" w14:textId="77777777" w:rsidR="0088272D" w:rsidRPr="007C487A" w:rsidRDefault="0088272D" w:rsidP="0088272D">
      <w:pPr>
        <w:autoSpaceDE w:val="0"/>
        <w:autoSpaceDN w:val="0"/>
        <w:adjustRightInd w:val="0"/>
        <w:rPr>
          <w:b/>
          <w:bCs/>
          <w:color w:val="000000"/>
          <w:szCs w:val="22"/>
        </w:rPr>
      </w:pPr>
      <w:r w:rsidRPr="007C487A">
        <w:rPr>
          <w:b/>
          <w:szCs w:val="22"/>
        </w:rPr>
        <w:t>Szívbetegségek és a szívvel kapcsolatos tünetek</w:t>
      </w:r>
    </w:p>
    <w:p w14:paraId="080DF274" w14:textId="77777777" w:rsidR="0088272D" w:rsidRPr="007C487A" w:rsidRDefault="0088272D" w:rsidP="0088272D">
      <w:pPr>
        <w:autoSpaceDE w:val="0"/>
        <w:autoSpaceDN w:val="0"/>
        <w:adjustRightInd w:val="0"/>
        <w:rPr>
          <w:color w:val="000000"/>
          <w:szCs w:val="22"/>
        </w:rPr>
      </w:pPr>
      <w:r w:rsidRPr="007C487A">
        <w:rPr>
          <w:color w:val="000000"/>
          <w:szCs w:val="22"/>
        </w:rPr>
        <w:t xml:space="preserve">Nem gyakori: </w:t>
      </w:r>
      <w:proofErr w:type="spellStart"/>
      <w:r w:rsidRPr="007C487A">
        <w:rPr>
          <w:color w:val="000000"/>
          <w:szCs w:val="22"/>
        </w:rPr>
        <w:t>palpitáció</w:t>
      </w:r>
      <w:proofErr w:type="spellEnd"/>
      <w:r w:rsidRPr="007C487A">
        <w:rPr>
          <w:color w:val="000000"/>
          <w:szCs w:val="22"/>
        </w:rPr>
        <w:t xml:space="preserve"> az </w:t>
      </w:r>
      <w:proofErr w:type="spellStart"/>
      <w:r w:rsidRPr="007C487A">
        <w:rPr>
          <w:szCs w:val="22"/>
        </w:rPr>
        <w:t>Anexate</w:t>
      </w:r>
      <w:proofErr w:type="spellEnd"/>
      <w:r w:rsidRPr="007C487A">
        <w:rPr>
          <w:szCs w:val="22"/>
        </w:rPr>
        <w:t xml:space="preserve"> </w:t>
      </w:r>
      <w:r w:rsidRPr="007C487A">
        <w:rPr>
          <w:color w:val="000000"/>
          <w:szCs w:val="22"/>
        </w:rPr>
        <w:t>gyors beadása után, amely általában nem igényelt kezelést.</w:t>
      </w:r>
    </w:p>
    <w:p w14:paraId="1A1B0B75" w14:textId="77777777" w:rsidR="0088272D" w:rsidRPr="007C487A" w:rsidRDefault="0088272D" w:rsidP="0088272D">
      <w:pPr>
        <w:autoSpaceDE w:val="0"/>
        <w:autoSpaceDN w:val="0"/>
        <w:adjustRightInd w:val="0"/>
        <w:rPr>
          <w:b/>
          <w:bCs/>
          <w:color w:val="000000"/>
          <w:szCs w:val="22"/>
        </w:rPr>
      </w:pPr>
      <w:r w:rsidRPr="007C487A">
        <w:rPr>
          <w:b/>
          <w:szCs w:val="22"/>
        </w:rPr>
        <w:t>Érbetegségek és tünetek</w:t>
      </w:r>
    </w:p>
    <w:p w14:paraId="1A934DA4" w14:textId="77777777" w:rsidR="0088272D" w:rsidRPr="007C487A" w:rsidRDefault="0088272D" w:rsidP="0088272D">
      <w:pPr>
        <w:autoSpaceDE w:val="0"/>
        <w:autoSpaceDN w:val="0"/>
        <w:adjustRightInd w:val="0"/>
        <w:rPr>
          <w:color w:val="000000"/>
          <w:szCs w:val="22"/>
        </w:rPr>
      </w:pPr>
      <w:r w:rsidRPr="007C487A">
        <w:rPr>
          <w:color w:val="000000"/>
          <w:szCs w:val="22"/>
        </w:rPr>
        <w:t>Nem ismert: átmeneti vérnyomás emelkedés (ébredéskor)</w:t>
      </w:r>
    </w:p>
    <w:p w14:paraId="201640A8" w14:textId="77777777" w:rsidR="0088272D" w:rsidRPr="007C487A" w:rsidRDefault="0088272D" w:rsidP="0088272D">
      <w:pPr>
        <w:autoSpaceDE w:val="0"/>
        <w:autoSpaceDN w:val="0"/>
        <w:adjustRightInd w:val="0"/>
        <w:rPr>
          <w:b/>
          <w:bCs/>
          <w:color w:val="000000"/>
          <w:szCs w:val="22"/>
        </w:rPr>
      </w:pPr>
      <w:r w:rsidRPr="007C487A">
        <w:rPr>
          <w:b/>
          <w:szCs w:val="22"/>
        </w:rPr>
        <w:t>Emésztőrendszeri betegségek és tünetek</w:t>
      </w:r>
    </w:p>
    <w:p w14:paraId="10BB29BA" w14:textId="77777777" w:rsidR="0088272D" w:rsidRPr="007C487A" w:rsidRDefault="0088272D" w:rsidP="0088272D">
      <w:pPr>
        <w:autoSpaceDE w:val="0"/>
        <w:autoSpaceDN w:val="0"/>
        <w:adjustRightInd w:val="0"/>
        <w:rPr>
          <w:color w:val="000000"/>
          <w:szCs w:val="22"/>
        </w:rPr>
      </w:pPr>
      <w:r w:rsidRPr="007C487A">
        <w:rPr>
          <w:color w:val="000000"/>
          <w:szCs w:val="22"/>
        </w:rPr>
        <w:t xml:space="preserve">Gyakori: émelygés, hányás posztoperatív alkalmazás során, főként ha egyidejűleg </w:t>
      </w:r>
      <w:proofErr w:type="spellStart"/>
      <w:r w:rsidRPr="007C487A">
        <w:rPr>
          <w:color w:val="000000"/>
          <w:szCs w:val="22"/>
        </w:rPr>
        <w:t>opiátokat</w:t>
      </w:r>
      <w:proofErr w:type="spellEnd"/>
      <w:r w:rsidRPr="007C487A">
        <w:rPr>
          <w:color w:val="000000"/>
          <w:szCs w:val="22"/>
        </w:rPr>
        <w:t xml:space="preserve"> is alkalmaztak.</w:t>
      </w:r>
    </w:p>
    <w:p w14:paraId="773C7CFD" w14:textId="77777777" w:rsidR="0088272D" w:rsidRPr="007C487A" w:rsidRDefault="0088272D" w:rsidP="0088272D">
      <w:pPr>
        <w:autoSpaceDE w:val="0"/>
        <w:autoSpaceDN w:val="0"/>
        <w:adjustRightInd w:val="0"/>
        <w:rPr>
          <w:b/>
          <w:bCs/>
          <w:color w:val="000000"/>
          <w:szCs w:val="22"/>
        </w:rPr>
      </w:pPr>
      <w:r w:rsidRPr="007C487A">
        <w:rPr>
          <w:b/>
          <w:szCs w:val="22"/>
        </w:rPr>
        <w:t>A bőr és a bőr alatti szövet betegségei és tünetei</w:t>
      </w:r>
    </w:p>
    <w:p w14:paraId="6693ED7E" w14:textId="77777777" w:rsidR="0088272D" w:rsidRPr="007C487A" w:rsidRDefault="0088272D" w:rsidP="0088272D">
      <w:pPr>
        <w:autoSpaceDE w:val="0"/>
        <w:autoSpaceDN w:val="0"/>
        <w:adjustRightInd w:val="0"/>
        <w:rPr>
          <w:color w:val="000000"/>
          <w:szCs w:val="22"/>
        </w:rPr>
      </w:pPr>
      <w:r w:rsidRPr="007C487A">
        <w:rPr>
          <w:color w:val="000000"/>
          <w:szCs w:val="22"/>
        </w:rPr>
        <w:t>Nem ismert: kipirulás</w:t>
      </w:r>
    </w:p>
    <w:p w14:paraId="540AF714" w14:textId="77777777" w:rsidR="0088272D" w:rsidRPr="007C487A" w:rsidRDefault="0088272D" w:rsidP="0088272D">
      <w:pPr>
        <w:autoSpaceDE w:val="0"/>
        <w:autoSpaceDN w:val="0"/>
        <w:adjustRightInd w:val="0"/>
        <w:rPr>
          <w:b/>
          <w:bCs/>
          <w:color w:val="000000"/>
          <w:szCs w:val="22"/>
        </w:rPr>
      </w:pPr>
      <w:r w:rsidRPr="007C487A">
        <w:rPr>
          <w:b/>
          <w:szCs w:val="22"/>
        </w:rPr>
        <w:t>Általános tünetek, az alkalmazás helyén fellépő reakciók</w:t>
      </w:r>
    </w:p>
    <w:p w14:paraId="43B5A138" w14:textId="77777777" w:rsidR="0088272D" w:rsidRPr="007C487A" w:rsidRDefault="0088272D" w:rsidP="0088272D">
      <w:pPr>
        <w:rPr>
          <w:szCs w:val="22"/>
        </w:rPr>
      </w:pPr>
      <w:r w:rsidRPr="007C487A">
        <w:rPr>
          <w:szCs w:val="22"/>
        </w:rPr>
        <w:t xml:space="preserve">Nem ismert: hidegrázás az </w:t>
      </w:r>
      <w:proofErr w:type="spellStart"/>
      <w:r w:rsidRPr="007C487A">
        <w:rPr>
          <w:szCs w:val="22"/>
        </w:rPr>
        <w:t>Anexate</w:t>
      </w:r>
      <w:proofErr w:type="spellEnd"/>
      <w:r w:rsidRPr="007C487A">
        <w:rPr>
          <w:szCs w:val="22"/>
        </w:rPr>
        <w:t xml:space="preserve"> gyors beadása után, amely általában nem igényelt kezelést.</w:t>
      </w:r>
    </w:p>
    <w:p w14:paraId="29F6AADA" w14:textId="77777777" w:rsidR="0088272D" w:rsidRPr="007C487A" w:rsidRDefault="0088272D" w:rsidP="0088272D">
      <w:pPr>
        <w:suppressAutoHyphens w:val="0"/>
        <w:ind w:left="567" w:hanging="567"/>
        <w:rPr>
          <w:b/>
          <w:szCs w:val="22"/>
          <w:lang w:eastAsia="ja-JP"/>
        </w:rPr>
      </w:pPr>
    </w:p>
    <w:p w14:paraId="770527F0" w14:textId="77777777" w:rsidR="000E63F8" w:rsidRPr="007C487A" w:rsidRDefault="000E63F8" w:rsidP="000E63F8">
      <w:pPr>
        <w:rPr>
          <w:szCs w:val="22"/>
          <w:u w:val="single"/>
        </w:rPr>
      </w:pPr>
      <w:r w:rsidRPr="007C487A">
        <w:rPr>
          <w:szCs w:val="22"/>
          <w:u w:val="single"/>
        </w:rPr>
        <w:t>Feltételezett mellékhatások bejelentése</w:t>
      </w:r>
    </w:p>
    <w:p w14:paraId="1BDA0B9D" w14:textId="77777777" w:rsidR="000E63F8" w:rsidRPr="007C487A" w:rsidRDefault="000E63F8" w:rsidP="000E63F8">
      <w:pPr>
        <w:rPr>
          <w:szCs w:val="22"/>
        </w:rPr>
      </w:pPr>
      <w:r w:rsidRPr="007C487A">
        <w:rPr>
          <w:szCs w:val="22"/>
        </w:rPr>
        <w:t xml:space="preserve">A gyógyszer engedélyezését követően lényeges a feltételezett mellékhatások bejelentése, mert ez fontos eszköze annak, hogy a gyógyszer előny/kockázat profilját folyamatosan figyelemmel lehessen kísérni. </w:t>
      </w:r>
    </w:p>
    <w:p w14:paraId="16FC4F65" w14:textId="5D6D8F7B" w:rsidR="000E63F8" w:rsidRPr="009E43AC" w:rsidRDefault="000E63F8" w:rsidP="000E63F8">
      <w:pPr>
        <w:rPr>
          <w:szCs w:val="22"/>
        </w:rPr>
      </w:pPr>
      <w:r w:rsidRPr="007C487A">
        <w:rPr>
          <w:szCs w:val="22"/>
        </w:rPr>
        <w:t xml:space="preserve">Az egészségügyi szakembereket kérjük, hogy jelentsék be a feltételezett mellékhatásokat a hatóság részére az </w:t>
      </w:r>
      <w:r w:rsidRPr="009E43AC">
        <w:rPr>
          <w:szCs w:val="22"/>
          <w:highlight w:val="lightGray"/>
        </w:rPr>
        <w:t>V. függelékben</w:t>
      </w:r>
      <w:r w:rsidRPr="007C487A">
        <w:rPr>
          <w:szCs w:val="22"/>
          <w:highlight w:val="lightGray"/>
        </w:rPr>
        <w:t xml:space="preserve"> található elérhetőségek valamelyikén keresztül</w:t>
      </w:r>
      <w:r w:rsidRPr="007C487A">
        <w:rPr>
          <w:szCs w:val="22"/>
        </w:rPr>
        <w:t>.</w:t>
      </w:r>
    </w:p>
    <w:p w14:paraId="687E827F" w14:textId="77777777" w:rsidR="009E43AC" w:rsidRDefault="009E43AC" w:rsidP="009E43AC">
      <w:pPr>
        <w:suppressAutoHyphens w:val="0"/>
        <w:rPr>
          <w:b/>
          <w:szCs w:val="22"/>
          <w:lang w:eastAsia="ja-JP"/>
        </w:rPr>
      </w:pPr>
    </w:p>
    <w:p w14:paraId="586133CD" w14:textId="77777777" w:rsidR="009E43AC" w:rsidRPr="007C487A" w:rsidRDefault="009E43AC" w:rsidP="009E43AC">
      <w:pPr>
        <w:suppressAutoHyphens w:val="0"/>
        <w:rPr>
          <w:b/>
          <w:szCs w:val="22"/>
          <w:lang w:eastAsia="ja-JP"/>
        </w:rPr>
      </w:pPr>
    </w:p>
    <w:p w14:paraId="240D2E5E" w14:textId="77777777" w:rsidR="009E43AC" w:rsidRDefault="009E43AC">
      <w:pPr>
        <w:suppressAutoHyphens w:val="0"/>
        <w:spacing w:after="160" w:line="259" w:lineRule="auto"/>
        <w:rPr>
          <w:b/>
          <w:szCs w:val="22"/>
          <w:lang w:eastAsia="ja-JP"/>
        </w:rPr>
      </w:pPr>
      <w:r>
        <w:rPr>
          <w:b/>
          <w:szCs w:val="22"/>
          <w:lang w:eastAsia="ja-JP"/>
        </w:rPr>
        <w:br w:type="page"/>
      </w:r>
    </w:p>
    <w:p w14:paraId="28B89F65" w14:textId="77777777" w:rsidR="0088272D" w:rsidRPr="007C487A" w:rsidRDefault="0088272D" w:rsidP="0088272D">
      <w:pPr>
        <w:suppressAutoHyphens w:val="0"/>
        <w:ind w:left="567" w:hanging="567"/>
        <w:rPr>
          <w:b/>
          <w:szCs w:val="22"/>
          <w:lang w:eastAsia="ja-JP"/>
        </w:rPr>
      </w:pPr>
      <w:r w:rsidRPr="007C487A">
        <w:rPr>
          <w:b/>
          <w:szCs w:val="22"/>
          <w:lang w:eastAsia="ja-JP"/>
        </w:rPr>
        <w:lastRenderedPageBreak/>
        <w:t>4.9</w:t>
      </w:r>
      <w:r w:rsidRPr="007C487A">
        <w:rPr>
          <w:b/>
          <w:szCs w:val="22"/>
          <w:lang w:eastAsia="ja-JP"/>
        </w:rPr>
        <w:tab/>
        <w:t>Túladagolás</w:t>
      </w:r>
    </w:p>
    <w:p w14:paraId="4DC7B7F6" w14:textId="77777777" w:rsidR="0088272D" w:rsidRPr="007C487A" w:rsidRDefault="0088272D" w:rsidP="0088272D">
      <w:pPr>
        <w:pStyle w:val="Szvegtrzs"/>
        <w:spacing w:line="240" w:lineRule="auto"/>
        <w:rPr>
          <w:sz w:val="22"/>
          <w:szCs w:val="22"/>
          <w:lang w:val="hu-HU"/>
        </w:rPr>
      </w:pPr>
    </w:p>
    <w:p w14:paraId="01E94325" w14:textId="77777777" w:rsidR="0088272D" w:rsidRPr="007C487A" w:rsidRDefault="0088272D" w:rsidP="0088272D">
      <w:pPr>
        <w:suppressAutoHyphens w:val="0"/>
        <w:rPr>
          <w:szCs w:val="22"/>
        </w:rPr>
      </w:pPr>
      <w:r w:rsidRPr="007C487A">
        <w:rPr>
          <w:szCs w:val="22"/>
        </w:rPr>
        <w:t xml:space="preserve">Több különböző gyógyszer egyidejű túladagolásakor, főként ha ezek között ciklikus antidepresszánsok is vannak, a </w:t>
      </w:r>
      <w:proofErr w:type="spellStart"/>
      <w:r w:rsidRPr="007C487A">
        <w:rPr>
          <w:szCs w:val="22"/>
        </w:rPr>
        <w:t>benzodiazepin</w:t>
      </w:r>
      <w:proofErr w:type="spellEnd"/>
      <w:r w:rsidRPr="007C487A">
        <w:rPr>
          <w:szCs w:val="22"/>
        </w:rPr>
        <w:t xml:space="preserve"> hatás </w:t>
      </w:r>
      <w:proofErr w:type="spellStart"/>
      <w:r w:rsidRPr="007C487A">
        <w:rPr>
          <w:szCs w:val="22"/>
        </w:rPr>
        <w:t>Anexate-val</w:t>
      </w:r>
      <w:proofErr w:type="spellEnd"/>
      <w:r w:rsidRPr="007C487A">
        <w:rPr>
          <w:szCs w:val="22"/>
        </w:rPr>
        <w:t xml:space="preserve"> történő felfüggesztése következtében megjelenhetnek egyes toxikus hatások (pl. </w:t>
      </w:r>
      <w:proofErr w:type="spellStart"/>
      <w:r w:rsidRPr="007C487A">
        <w:rPr>
          <w:szCs w:val="22"/>
        </w:rPr>
        <w:t>konvulziók</w:t>
      </w:r>
      <w:proofErr w:type="spellEnd"/>
      <w:r w:rsidRPr="007C487A">
        <w:rPr>
          <w:szCs w:val="22"/>
        </w:rPr>
        <w:t xml:space="preserve"> és szívritmuszavarok).</w:t>
      </w:r>
    </w:p>
    <w:p w14:paraId="6CC18FB2" w14:textId="77777777" w:rsidR="0088272D" w:rsidRPr="007C487A" w:rsidRDefault="0088272D" w:rsidP="0088272D">
      <w:pPr>
        <w:suppressAutoHyphens w:val="0"/>
        <w:rPr>
          <w:szCs w:val="22"/>
        </w:rPr>
      </w:pPr>
      <w:r w:rsidRPr="007C487A">
        <w:rPr>
          <w:szCs w:val="22"/>
        </w:rPr>
        <w:t xml:space="preserve">Az </w:t>
      </w:r>
      <w:proofErr w:type="spellStart"/>
      <w:r w:rsidRPr="007C487A">
        <w:rPr>
          <w:szCs w:val="22"/>
        </w:rPr>
        <w:t>Anexate</w:t>
      </w:r>
      <w:proofErr w:type="spellEnd"/>
      <w:r w:rsidRPr="007C487A">
        <w:rPr>
          <w:szCs w:val="22"/>
        </w:rPr>
        <w:t xml:space="preserve"> túladagolásának nincs specifikus ellenszere. Általános támogató kezelést kell alkalmazni, beleértve az életfunkciók ellenőrzését és a beteg klinikai állapotának megfigyelését. </w:t>
      </w:r>
    </w:p>
    <w:p w14:paraId="58B294C7" w14:textId="77777777" w:rsidR="0088272D" w:rsidRPr="007C487A" w:rsidRDefault="0088272D" w:rsidP="0088272D">
      <w:pPr>
        <w:suppressAutoHyphens w:val="0"/>
        <w:rPr>
          <w:szCs w:val="22"/>
        </w:rPr>
      </w:pPr>
      <w:r w:rsidRPr="007C487A">
        <w:rPr>
          <w:szCs w:val="22"/>
        </w:rPr>
        <w:t xml:space="preserve">Az </w:t>
      </w:r>
      <w:proofErr w:type="spellStart"/>
      <w:r w:rsidRPr="007C487A">
        <w:rPr>
          <w:szCs w:val="22"/>
        </w:rPr>
        <w:t>Anexate</w:t>
      </w:r>
      <w:proofErr w:type="spellEnd"/>
      <w:r w:rsidRPr="007C487A">
        <w:rPr>
          <w:szCs w:val="22"/>
        </w:rPr>
        <w:t xml:space="preserve"> akut túladagolására vonatkozóan embereknél csak nagyon kevés tapasztalat áll rendelkezésre.</w:t>
      </w:r>
    </w:p>
    <w:p w14:paraId="56028376" w14:textId="77777777" w:rsidR="0088272D" w:rsidRPr="007C487A" w:rsidRDefault="0088272D" w:rsidP="0088272D">
      <w:pPr>
        <w:suppressAutoHyphens w:val="0"/>
        <w:rPr>
          <w:szCs w:val="22"/>
        </w:rPr>
      </w:pPr>
      <w:r w:rsidRPr="007C487A">
        <w:rPr>
          <w:szCs w:val="22"/>
        </w:rPr>
        <w:t xml:space="preserve">Még a szokásosnál nagyobb adagban (100 mg </w:t>
      </w:r>
      <w:proofErr w:type="spellStart"/>
      <w:r w:rsidRPr="007C487A">
        <w:rPr>
          <w:szCs w:val="22"/>
        </w:rPr>
        <w:t>flumazenil</w:t>
      </w:r>
      <w:proofErr w:type="spellEnd"/>
      <w:r w:rsidRPr="007C487A">
        <w:rPr>
          <w:szCs w:val="22"/>
        </w:rPr>
        <w:t>) adva sem váltott ki toxikus tüneteket.</w:t>
      </w:r>
    </w:p>
    <w:p w14:paraId="397A38A8" w14:textId="77777777" w:rsidR="0088272D" w:rsidRPr="007C487A" w:rsidRDefault="0088272D" w:rsidP="0088272D">
      <w:pPr>
        <w:rPr>
          <w:szCs w:val="22"/>
        </w:rPr>
      </w:pPr>
    </w:p>
    <w:p w14:paraId="20DC695D" w14:textId="77777777" w:rsidR="0088272D" w:rsidRPr="007C487A" w:rsidRDefault="0088272D" w:rsidP="0088272D">
      <w:pPr>
        <w:rPr>
          <w:szCs w:val="22"/>
        </w:rPr>
      </w:pPr>
    </w:p>
    <w:p w14:paraId="42C2D094" w14:textId="77777777" w:rsidR="0088272D" w:rsidRPr="007C487A" w:rsidRDefault="0088272D" w:rsidP="0088272D">
      <w:pPr>
        <w:suppressAutoHyphens w:val="0"/>
        <w:ind w:left="567" w:hanging="567"/>
        <w:rPr>
          <w:b/>
          <w:szCs w:val="22"/>
          <w:lang w:eastAsia="ja-JP"/>
        </w:rPr>
      </w:pPr>
      <w:r w:rsidRPr="007C487A">
        <w:rPr>
          <w:b/>
          <w:szCs w:val="22"/>
          <w:lang w:eastAsia="ja-JP"/>
        </w:rPr>
        <w:t>5.</w:t>
      </w:r>
      <w:r w:rsidRPr="007C487A">
        <w:rPr>
          <w:b/>
          <w:szCs w:val="22"/>
          <w:lang w:eastAsia="ja-JP"/>
        </w:rPr>
        <w:tab/>
        <w:t>FARMAKOLÓGIAI TULAJDONSÁGOK</w:t>
      </w:r>
    </w:p>
    <w:p w14:paraId="46C895A8" w14:textId="77777777" w:rsidR="0088272D" w:rsidRPr="007C487A" w:rsidRDefault="0088272D" w:rsidP="0088272D">
      <w:pPr>
        <w:rPr>
          <w:b/>
          <w:szCs w:val="22"/>
        </w:rPr>
      </w:pPr>
    </w:p>
    <w:p w14:paraId="18222A58" w14:textId="77777777" w:rsidR="0088272D" w:rsidRPr="007C487A" w:rsidRDefault="0088272D" w:rsidP="0088272D">
      <w:pPr>
        <w:suppressAutoHyphens w:val="0"/>
        <w:ind w:left="567" w:hanging="567"/>
        <w:rPr>
          <w:b/>
          <w:szCs w:val="22"/>
          <w:lang w:eastAsia="ja-JP"/>
        </w:rPr>
      </w:pPr>
      <w:r w:rsidRPr="007C487A">
        <w:rPr>
          <w:b/>
          <w:szCs w:val="22"/>
          <w:lang w:eastAsia="ja-JP"/>
        </w:rPr>
        <w:t>5.1</w:t>
      </w:r>
      <w:r w:rsidRPr="007C487A">
        <w:rPr>
          <w:b/>
          <w:szCs w:val="22"/>
          <w:lang w:eastAsia="ja-JP"/>
        </w:rPr>
        <w:tab/>
      </w:r>
      <w:proofErr w:type="spellStart"/>
      <w:r w:rsidRPr="007C487A">
        <w:rPr>
          <w:b/>
          <w:szCs w:val="22"/>
          <w:lang w:eastAsia="ja-JP"/>
        </w:rPr>
        <w:t>Farmakodinámiás</w:t>
      </w:r>
      <w:proofErr w:type="spellEnd"/>
      <w:r w:rsidRPr="007C487A">
        <w:rPr>
          <w:b/>
          <w:szCs w:val="22"/>
          <w:lang w:eastAsia="ja-JP"/>
        </w:rPr>
        <w:t xml:space="preserve"> tulajdonságok</w:t>
      </w:r>
    </w:p>
    <w:p w14:paraId="71BF436A" w14:textId="77777777" w:rsidR="0088272D" w:rsidRPr="007C487A" w:rsidRDefault="0088272D" w:rsidP="0088272D">
      <w:pPr>
        <w:rPr>
          <w:szCs w:val="22"/>
        </w:rPr>
      </w:pPr>
    </w:p>
    <w:p w14:paraId="518A245B" w14:textId="77777777" w:rsidR="0088272D" w:rsidRPr="007C487A" w:rsidRDefault="0088272D" w:rsidP="0088272D">
      <w:pPr>
        <w:rPr>
          <w:szCs w:val="22"/>
        </w:rPr>
      </w:pPr>
      <w:proofErr w:type="spellStart"/>
      <w:r w:rsidRPr="007C487A">
        <w:rPr>
          <w:b/>
          <w:szCs w:val="22"/>
        </w:rPr>
        <w:t>Farmakoterápiás</w:t>
      </w:r>
      <w:proofErr w:type="spellEnd"/>
      <w:r w:rsidRPr="007C487A">
        <w:rPr>
          <w:b/>
          <w:szCs w:val="22"/>
        </w:rPr>
        <w:t xml:space="preserve"> csoport:</w:t>
      </w:r>
      <w:r w:rsidRPr="007C487A">
        <w:rPr>
          <w:szCs w:val="22"/>
        </w:rPr>
        <w:t xml:space="preserve"> </w:t>
      </w:r>
      <w:proofErr w:type="spellStart"/>
      <w:r w:rsidRPr="007C487A">
        <w:rPr>
          <w:szCs w:val="22"/>
        </w:rPr>
        <w:t>antidotumok</w:t>
      </w:r>
      <w:proofErr w:type="spellEnd"/>
      <w:r w:rsidRPr="007C487A">
        <w:rPr>
          <w:szCs w:val="22"/>
        </w:rPr>
        <w:t>, ATC kód:</w:t>
      </w:r>
      <w:r w:rsidRPr="007C487A">
        <w:rPr>
          <w:b/>
          <w:szCs w:val="22"/>
        </w:rPr>
        <w:t xml:space="preserve"> </w:t>
      </w:r>
      <w:r w:rsidRPr="007C487A">
        <w:rPr>
          <w:szCs w:val="22"/>
        </w:rPr>
        <w:t>V03AB25</w:t>
      </w:r>
    </w:p>
    <w:p w14:paraId="3BA191CC" w14:textId="77777777" w:rsidR="0088272D" w:rsidRPr="007C487A" w:rsidRDefault="0088272D" w:rsidP="0088272D">
      <w:pPr>
        <w:rPr>
          <w:szCs w:val="22"/>
        </w:rPr>
      </w:pPr>
    </w:p>
    <w:p w14:paraId="406317AD" w14:textId="77777777" w:rsidR="0088272D" w:rsidRPr="007C487A" w:rsidRDefault="0088272D" w:rsidP="0088272D">
      <w:pPr>
        <w:rPr>
          <w:szCs w:val="22"/>
        </w:rPr>
      </w:pPr>
      <w:r w:rsidRPr="007C487A">
        <w:rPr>
          <w:szCs w:val="22"/>
        </w:rPr>
        <w:t xml:space="preserve">A </w:t>
      </w:r>
      <w:proofErr w:type="spellStart"/>
      <w:r w:rsidRPr="007C487A">
        <w:rPr>
          <w:szCs w:val="22"/>
        </w:rPr>
        <w:t>benzodiazepin</w:t>
      </w:r>
      <w:proofErr w:type="spellEnd"/>
      <w:r w:rsidRPr="007C487A">
        <w:rPr>
          <w:szCs w:val="22"/>
        </w:rPr>
        <w:t xml:space="preserve"> </w:t>
      </w:r>
      <w:proofErr w:type="spellStart"/>
      <w:r w:rsidRPr="007C487A">
        <w:rPr>
          <w:szCs w:val="22"/>
        </w:rPr>
        <w:t>antagonista</w:t>
      </w:r>
      <w:proofErr w:type="spellEnd"/>
      <w:r w:rsidRPr="007C487A">
        <w:rPr>
          <w:szCs w:val="22"/>
        </w:rPr>
        <w:t xml:space="preserve"> </w:t>
      </w:r>
      <w:proofErr w:type="spellStart"/>
      <w:r w:rsidRPr="007C487A">
        <w:rPr>
          <w:szCs w:val="22"/>
        </w:rPr>
        <w:t>Anexate</w:t>
      </w:r>
      <w:proofErr w:type="spellEnd"/>
      <w:r w:rsidRPr="007C487A">
        <w:rPr>
          <w:szCs w:val="22"/>
        </w:rPr>
        <w:t xml:space="preserve"> (</w:t>
      </w:r>
      <w:proofErr w:type="spellStart"/>
      <w:r w:rsidRPr="007C487A">
        <w:rPr>
          <w:szCs w:val="22"/>
        </w:rPr>
        <w:t>flumazenil</w:t>
      </w:r>
      <w:proofErr w:type="spellEnd"/>
      <w:r w:rsidRPr="007C487A">
        <w:rPr>
          <w:szCs w:val="22"/>
        </w:rPr>
        <w:t xml:space="preserve">), </w:t>
      </w:r>
      <w:proofErr w:type="spellStart"/>
      <w:r w:rsidRPr="007C487A">
        <w:rPr>
          <w:szCs w:val="22"/>
        </w:rPr>
        <w:t>imidazobenzodiazepin</w:t>
      </w:r>
      <w:proofErr w:type="spellEnd"/>
      <w:r w:rsidRPr="007C487A">
        <w:rPr>
          <w:szCs w:val="22"/>
        </w:rPr>
        <w:t xml:space="preserve"> származék, mely specifikusan kötődik a </w:t>
      </w:r>
      <w:proofErr w:type="spellStart"/>
      <w:r w:rsidRPr="007C487A">
        <w:rPr>
          <w:szCs w:val="22"/>
        </w:rPr>
        <w:t>benzodiazepin</w:t>
      </w:r>
      <w:proofErr w:type="spellEnd"/>
      <w:r w:rsidRPr="007C487A">
        <w:rPr>
          <w:szCs w:val="22"/>
        </w:rPr>
        <w:t xml:space="preserve">-receptorokhoz, így kompetitív módon gátolja az ezen receptorokon ható anyagok központi idegrendszerre kifejtett hatását. Állatkísérletekben a </w:t>
      </w:r>
      <w:proofErr w:type="spellStart"/>
      <w:r w:rsidRPr="007C487A">
        <w:rPr>
          <w:szCs w:val="22"/>
        </w:rPr>
        <w:t>benzodiazepin</w:t>
      </w:r>
      <w:proofErr w:type="spellEnd"/>
      <w:r w:rsidRPr="007C487A">
        <w:rPr>
          <w:szCs w:val="22"/>
        </w:rPr>
        <w:t xml:space="preserve">-receptorokhoz affinitást mutató vegyületek hatását gátolta, de nem gátolta azon anyagok hatását, melyek nem kötődnek a </w:t>
      </w:r>
      <w:proofErr w:type="spellStart"/>
      <w:r w:rsidRPr="007C487A">
        <w:rPr>
          <w:szCs w:val="22"/>
        </w:rPr>
        <w:t>benzodiazepin</w:t>
      </w:r>
      <w:proofErr w:type="spellEnd"/>
      <w:r w:rsidRPr="007C487A">
        <w:rPr>
          <w:szCs w:val="22"/>
        </w:rPr>
        <w:t xml:space="preserve"> receptorokhoz, pl. barbiturátok, etanol, </w:t>
      </w:r>
      <w:proofErr w:type="spellStart"/>
      <w:r w:rsidRPr="007C487A">
        <w:rPr>
          <w:szCs w:val="22"/>
        </w:rPr>
        <w:t>meprobamat</w:t>
      </w:r>
      <w:proofErr w:type="spellEnd"/>
      <w:r w:rsidRPr="007C487A">
        <w:rPr>
          <w:szCs w:val="22"/>
        </w:rPr>
        <w:t xml:space="preserve">, GABA </w:t>
      </w:r>
      <w:proofErr w:type="spellStart"/>
      <w:r w:rsidRPr="007C487A">
        <w:rPr>
          <w:szCs w:val="22"/>
        </w:rPr>
        <w:t>mimetikumok</w:t>
      </w:r>
      <w:proofErr w:type="spellEnd"/>
      <w:r w:rsidRPr="007C487A">
        <w:rPr>
          <w:szCs w:val="22"/>
        </w:rPr>
        <w:t xml:space="preserve">, </w:t>
      </w:r>
      <w:proofErr w:type="spellStart"/>
      <w:r w:rsidRPr="007C487A">
        <w:rPr>
          <w:szCs w:val="22"/>
        </w:rPr>
        <w:t>adenozin</w:t>
      </w:r>
      <w:proofErr w:type="spellEnd"/>
      <w:r w:rsidRPr="007C487A">
        <w:rPr>
          <w:szCs w:val="22"/>
        </w:rPr>
        <w:t xml:space="preserve"> receptor </w:t>
      </w:r>
      <w:proofErr w:type="spellStart"/>
      <w:r w:rsidRPr="007C487A">
        <w:rPr>
          <w:szCs w:val="22"/>
        </w:rPr>
        <w:t>agonisták</w:t>
      </w:r>
      <w:proofErr w:type="spellEnd"/>
      <w:r w:rsidRPr="007C487A">
        <w:rPr>
          <w:szCs w:val="22"/>
        </w:rPr>
        <w:t xml:space="preserve">, és más vegyületek, de megfordította a </w:t>
      </w:r>
      <w:proofErr w:type="spellStart"/>
      <w:r w:rsidRPr="007C487A">
        <w:rPr>
          <w:szCs w:val="22"/>
        </w:rPr>
        <w:t>benzodiazepin</w:t>
      </w:r>
      <w:proofErr w:type="spellEnd"/>
      <w:r w:rsidRPr="007C487A">
        <w:rPr>
          <w:szCs w:val="22"/>
        </w:rPr>
        <w:t xml:space="preserve"> receptorok nem-</w:t>
      </w:r>
      <w:proofErr w:type="spellStart"/>
      <w:r w:rsidRPr="007C487A">
        <w:rPr>
          <w:szCs w:val="22"/>
        </w:rPr>
        <w:t>benzodiazepin</w:t>
      </w:r>
      <w:proofErr w:type="spellEnd"/>
      <w:r w:rsidRPr="007C487A">
        <w:rPr>
          <w:szCs w:val="22"/>
        </w:rPr>
        <w:t xml:space="preserve"> </w:t>
      </w:r>
      <w:proofErr w:type="spellStart"/>
      <w:r w:rsidRPr="007C487A">
        <w:rPr>
          <w:szCs w:val="22"/>
        </w:rPr>
        <w:t>agonistáinak</w:t>
      </w:r>
      <w:proofErr w:type="spellEnd"/>
      <w:r w:rsidRPr="007C487A">
        <w:rPr>
          <w:szCs w:val="22"/>
        </w:rPr>
        <w:t xml:space="preserve"> hatását, </w:t>
      </w:r>
      <w:proofErr w:type="spellStart"/>
      <w:r w:rsidRPr="007C487A">
        <w:rPr>
          <w:szCs w:val="22"/>
        </w:rPr>
        <w:t>pl.a</w:t>
      </w:r>
      <w:proofErr w:type="spellEnd"/>
      <w:r w:rsidRPr="007C487A">
        <w:rPr>
          <w:szCs w:val="22"/>
        </w:rPr>
        <w:t xml:space="preserve"> </w:t>
      </w:r>
      <w:proofErr w:type="spellStart"/>
      <w:r w:rsidRPr="007C487A">
        <w:rPr>
          <w:szCs w:val="22"/>
        </w:rPr>
        <w:t>ciklopirrolonok</w:t>
      </w:r>
      <w:proofErr w:type="spellEnd"/>
      <w:r w:rsidRPr="007C487A">
        <w:rPr>
          <w:szCs w:val="22"/>
        </w:rPr>
        <w:t xml:space="preserve"> (pl. </w:t>
      </w:r>
      <w:proofErr w:type="spellStart"/>
      <w:r w:rsidRPr="007C487A">
        <w:rPr>
          <w:szCs w:val="22"/>
        </w:rPr>
        <w:t>zopiklon</w:t>
      </w:r>
      <w:proofErr w:type="spellEnd"/>
      <w:r w:rsidRPr="007C487A">
        <w:rPr>
          <w:szCs w:val="22"/>
        </w:rPr>
        <w:t xml:space="preserve">) és </w:t>
      </w:r>
      <w:proofErr w:type="spellStart"/>
      <w:r w:rsidRPr="007C487A">
        <w:rPr>
          <w:szCs w:val="22"/>
        </w:rPr>
        <w:t>triazolopiridazinok</w:t>
      </w:r>
      <w:proofErr w:type="spellEnd"/>
      <w:r w:rsidRPr="007C487A">
        <w:rPr>
          <w:szCs w:val="22"/>
        </w:rPr>
        <w:t xml:space="preserve"> hatását.</w:t>
      </w:r>
    </w:p>
    <w:p w14:paraId="34901626" w14:textId="77777777" w:rsidR="0088272D" w:rsidRPr="007C487A" w:rsidRDefault="0088272D" w:rsidP="0088272D">
      <w:pPr>
        <w:rPr>
          <w:szCs w:val="22"/>
        </w:rPr>
      </w:pPr>
      <w:r w:rsidRPr="007C487A">
        <w:rPr>
          <w:szCs w:val="22"/>
        </w:rPr>
        <w:t xml:space="preserve">A </w:t>
      </w:r>
      <w:proofErr w:type="spellStart"/>
      <w:r w:rsidRPr="007C487A">
        <w:rPr>
          <w:szCs w:val="22"/>
        </w:rPr>
        <w:t>benzodiazepinek</w:t>
      </w:r>
      <w:proofErr w:type="spellEnd"/>
      <w:r w:rsidRPr="007C487A">
        <w:rPr>
          <w:szCs w:val="22"/>
        </w:rPr>
        <w:t xml:space="preserve"> altató-nyugtató hatását az </w:t>
      </w:r>
      <w:proofErr w:type="spellStart"/>
      <w:r w:rsidRPr="007C487A">
        <w:rPr>
          <w:szCs w:val="22"/>
        </w:rPr>
        <w:t>Anexate</w:t>
      </w:r>
      <w:proofErr w:type="spellEnd"/>
      <w:r w:rsidRPr="007C487A">
        <w:rPr>
          <w:szCs w:val="22"/>
        </w:rPr>
        <w:t xml:space="preserve"> intravénás injekciója gyorsan felfüggeszti (30-60 másodperc), de a hatás az </w:t>
      </w:r>
      <w:proofErr w:type="spellStart"/>
      <w:r w:rsidRPr="007C487A">
        <w:rPr>
          <w:szCs w:val="22"/>
        </w:rPr>
        <w:t>antagonista</w:t>
      </w:r>
      <w:proofErr w:type="spellEnd"/>
      <w:r w:rsidRPr="007C487A">
        <w:rPr>
          <w:szCs w:val="22"/>
        </w:rPr>
        <w:t xml:space="preserve"> és </w:t>
      </w:r>
      <w:proofErr w:type="spellStart"/>
      <w:r w:rsidRPr="007C487A">
        <w:rPr>
          <w:szCs w:val="22"/>
        </w:rPr>
        <w:t>agonista</w:t>
      </w:r>
      <w:proofErr w:type="spellEnd"/>
      <w:r w:rsidRPr="007C487A">
        <w:rPr>
          <w:szCs w:val="22"/>
        </w:rPr>
        <w:t xml:space="preserve"> dózis arányától, valamint felezési idejétől függően, a következő néhány órában fokozatosan visszatérhet. Egészséges önkénteseken az iv. </w:t>
      </w:r>
      <w:proofErr w:type="spellStart"/>
      <w:r w:rsidRPr="007C487A">
        <w:rPr>
          <w:szCs w:val="22"/>
        </w:rPr>
        <w:t>Anexate</w:t>
      </w:r>
      <w:proofErr w:type="spellEnd"/>
      <w:r w:rsidRPr="007C487A">
        <w:rPr>
          <w:szCs w:val="22"/>
        </w:rPr>
        <w:t xml:space="preserve"> </w:t>
      </w:r>
      <w:proofErr w:type="spellStart"/>
      <w:r w:rsidRPr="007C487A">
        <w:rPr>
          <w:szCs w:val="22"/>
        </w:rPr>
        <w:t>antagonizálta</w:t>
      </w:r>
      <w:proofErr w:type="spellEnd"/>
      <w:r w:rsidRPr="007C487A">
        <w:rPr>
          <w:szCs w:val="22"/>
        </w:rPr>
        <w:t xml:space="preserve"> a </w:t>
      </w:r>
      <w:proofErr w:type="spellStart"/>
      <w:r w:rsidRPr="007C487A">
        <w:rPr>
          <w:szCs w:val="22"/>
        </w:rPr>
        <w:t>benzodiazepin</w:t>
      </w:r>
      <w:proofErr w:type="spellEnd"/>
      <w:r w:rsidRPr="007C487A">
        <w:rPr>
          <w:szCs w:val="22"/>
        </w:rPr>
        <w:t xml:space="preserve"> </w:t>
      </w:r>
      <w:proofErr w:type="spellStart"/>
      <w:r w:rsidRPr="007C487A">
        <w:rPr>
          <w:szCs w:val="22"/>
        </w:rPr>
        <w:t>agonisták</w:t>
      </w:r>
      <w:proofErr w:type="spellEnd"/>
      <w:r w:rsidRPr="007C487A">
        <w:rPr>
          <w:szCs w:val="22"/>
        </w:rPr>
        <w:t xml:space="preserve"> által kiváltott </w:t>
      </w:r>
      <w:proofErr w:type="spellStart"/>
      <w:r w:rsidRPr="007C487A">
        <w:rPr>
          <w:szCs w:val="22"/>
        </w:rPr>
        <w:t>szedációt</w:t>
      </w:r>
      <w:proofErr w:type="spellEnd"/>
      <w:r w:rsidRPr="007C487A">
        <w:rPr>
          <w:szCs w:val="22"/>
        </w:rPr>
        <w:t xml:space="preserve">, amnéziát és </w:t>
      </w:r>
      <w:proofErr w:type="spellStart"/>
      <w:r w:rsidRPr="007C487A">
        <w:rPr>
          <w:szCs w:val="22"/>
        </w:rPr>
        <w:t>pszichomotoros</w:t>
      </w:r>
      <w:proofErr w:type="spellEnd"/>
      <w:r w:rsidRPr="007C487A">
        <w:rPr>
          <w:szCs w:val="22"/>
        </w:rPr>
        <w:t xml:space="preserve"> zavart. A </w:t>
      </w:r>
      <w:proofErr w:type="spellStart"/>
      <w:r w:rsidRPr="007C487A">
        <w:rPr>
          <w:szCs w:val="22"/>
        </w:rPr>
        <w:t>flumazenilnek</w:t>
      </w:r>
      <w:proofErr w:type="spellEnd"/>
      <w:r w:rsidRPr="007C487A">
        <w:rPr>
          <w:szCs w:val="22"/>
        </w:rPr>
        <w:t xml:space="preserve"> enyhe </w:t>
      </w:r>
      <w:proofErr w:type="spellStart"/>
      <w:r w:rsidRPr="007C487A">
        <w:rPr>
          <w:szCs w:val="22"/>
        </w:rPr>
        <w:t>intrinsic</w:t>
      </w:r>
      <w:proofErr w:type="spellEnd"/>
      <w:r w:rsidRPr="007C487A">
        <w:rPr>
          <w:szCs w:val="22"/>
        </w:rPr>
        <w:t xml:space="preserve"> </w:t>
      </w:r>
      <w:proofErr w:type="spellStart"/>
      <w:r w:rsidRPr="007C487A">
        <w:rPr>
          <w:szCs w:val="22"/>
        </w:rPr>
        <w:t>agonista</w:t>
      </w:r>
      <w:proofErr w:type="spellEnd"/>
      <w:r w:rsidRPr="007C487A">
        <w:rPr>
          <w:szCs w:val="22"/>
        </w:rPr>
        <w:t xml:space="preserve"> (pl. görcsgátló) hatása lehet.</w:t>
      </w:r>
    </w:p>
    <w:p w14:paraId="16AE8287" w14:textId="77777777" w:rsidR="0088272D" w:rsidRPr="007C487A" w:rsidRDefault="0088272D" w:rsidP="0088272D">
      <w:pPr>
        <w:rPr>
          <w:szCs w:val="22"/>
        </w:rPr>
      </w:pPr>
      <w:r w:rsidRPr="007C487A">
        <w:rPr>
          <w:szCs w:val="22"/>
        </w:rPr>
        <w:t xml:space="preserve">Állatokat nagydózisú </w:t>
      </w:r>
      <w:proofErr w:type="spellStart"/>
      <w:r w:rsidRPr="007C487A">
        <w:rPr>
          <w:szCs w:val="22"/>
        </w:rPr>
        <w:t>benzodiazepinekkel</w:t>
      </w:r>
      <w:proofErr w:type="spellEnd"/>
      <w:r w:rsidRPr="007C487A">
        <w:rPr>
          <w:szCs w:val="22"/>
        </w:rPr>
        <w:t xml:space="preserve"> több héten át kezelve, az </w:t>
      </w:r>
      <w:proofErr w:type="spellStart"/>
      <w:r w:rsidRPr="007C487A">
        <w:rPr>
          <w:szCs w:val="22"/>
        </w:rPr>
        <w:t>Anexate</w:t>
      </w:r>
      <w:proofErr w:type="spellEnd"/>
      <w:r w:rsidRPr="007C487A">
        <w:rPr>
          <w:szCs w:val="22"/>
        </w:rPr>
        <w:t xml:space="preserve"> </w:t>
      </w:r>
      <w:proofErr w:type="spellStart"/>
      <w:r w:rsidRPr="007C487A">
        <w:rPr>
          <w:szCs w:val="22"/>
        </w:rPr>
        <w:t>benzodiazepin</w:t>
      </w:r>
      <w:proofErr w:type="spellEnd"/>
      <w:r w:rsidRPr="007C487A">
        <w:rPr>
          <w:szCs w:val="22"/>
        </w:rPr>
        <w:t xml:space="preserve"> megvonási tüneteket váltott ki (görcsöket is). Hasonló hatást figyeltek meg emberen is.</w:t>
      </w:r>
    </w:p>
    <w:p w14:paraId="3FD23CE6" w14:textId="77777777" w:rsidR="0088272D" w:rsidRPr="007C487A" w:rsidRDefault="0088272D" w:rsidP="0088272D">
      <w:pPr>
        <w:rPr>
          <w:szCs w:val="22"/>
        </w:rPr>
      </w:pPr>
    </w:p>
    <w:p w14:paraId="7F7724CF" w14:textId="77777777" w:rsidR="0088272D" w:rsidRPr="007C487A" w:rsidRDefault="0088272D" w:rsidP="0088272D">
      <w:pPr>
        <w:suppressAutoHyphens w:val="0"/>
        <w:ind w:left="567" w:hanging="567"/>
        <w:rPr>
          <w:b/>
          <w:szCs w:val="22"/>
          <w:lang w:eastAsia="ja-JP"/>
        </w:rPr>
      </w:pPr>
      <w:bookmarkStart w:id="5" w:name="OLE_LINK7"/>
      <w:bookmarkStart w:id="6" w:name="OLE_LINK8"/>
      <w:r w:rsidRPr="007C487A">
        <w:rPr>
          <w:b/>
          <w:szCs w:val="22"/>
          <w:lang w:eastAsia="ja-JP"/>
        </w:rPr>
        <w:t>5.2</w:t>
      </w:r>
      <w:r w:rsidRPr="007C487A">
        <w:rPr>
          <w:b/>
          <w:szCs w:val="22"/>
          <w:lang w:eastAsia="ja-JP"/>
        </w:rPr>
        <w:tab/>
      </w:r>
      <w:proofErr w:type="spellStart"/>
      <w:r w:rsidRPr="007C487A">
        <w:rPr>
          <w:b/>
          <w:szCs w:val="22"/>
          <w:lang w:eastAsia="ja-JP"/>
        </w:rPr>
        <w:t>Farmakokinetikai</w:t>
      </w:r>
      <w:proofErr w:type="spellEnd"/>
      <w:r w:rsidRPr="007C487A">
        <w:rPr>
          <w:b/>
          <w:szCs w:val="22"/>
          <w:lang w:eastAsia="ja-JP"/>
        </w:rPr>
        <w:t xml:space="preserve"> tulajdonságok</w:t>
      </w:r>
    </w:p>
    <w:bookmarkEnd w:id="5"/>
    <w:bookmarkEnd w:id="6"/>
    <w:p w14:paraId="18CC1090" w14:textId="77777777" w:rsidR="0088272D" w:rsidRPr="007C487A" w:rsidRDefault="0088272D" w:rsidP="0088272D">
      <w:pPr>
        <w:pStyle w:val="Cmsor2"/>
        <w:numPr>
          <w:ilvl w:val="0"/>
          <w:numId w:val="0"/>
        </w:numPr>
        <w:spacing w:before="0" w:after="0"/>
        <w:rPr>
          <w:rFonts w:ascii="Times New Roman" w:hAnsi="Times New Roman"/>
          <w:sz w:val="22"/>
          <w:szCs w:val="22"/>
          <w:lang w:val="hu-HU"/>
        </w:rPr>
      </w:pPr>
    </w:p>
    <w:p w14:paraId="67A4256C" w14:textId="77777777" w:rsidR="0088272D" w:rsidRPr="007C487A" w:rsidRDefault="0088272D" w:rsidP="0088272D">
      <w:pPr>
        <w:rPr>
          <w:szCs w:val="22"/>
        </w:rPr>
      </w:pPr>
      <w:r w:rsidRPr="007C487A">
        <w:rPr>
          <w:szCs w:val="22"/>
        </w:rPr>
        <w:t xml:space="preserve">A </w:t>
      </w:r>
      <w:proofErr w:type="spellStart"/>
      <w:r w:rsidRPr="007C487A">
        <w:rPr>
          <w:szCs w:val="22"/>
        </w:rPr>
        <w:t>flumazenil</w:t>
      </w:r>
      <w:proofErr w:type="spellEnd"/>
      <w:r w:rsidRPr="007C487A">
        <w:rPr>
          <w:szCs w:val="22"/>
        </w:rPr>
        <w:t xml:space="preserve"> </w:t>
      </w:r>
      <w:proofErr w:type="spellStart"/>
      <w:r w:rsidRPr="007C487A">
        <w:rPr>
          <w:szCs w:val="22"/>
        </w:rPr>
        <w:t>farmakokinetikája</w:t>
      </w:r>
      <w:proofErr w:type="spellEnd"/>
      <w:r w:rsidRPr="007C487A">
        <w:rPr>
          <w:szCs w:val="22"/>
        </w:rPr>
        <w:t xml:space="preserve"> dózisarányos a terápiás tartományban és azon túl is, 100 mg-ig.</w:t>
      </w:r>
    </w:p>
    <w:p w14:paraId="1F3C9A85" w14:textId="77777777" w:rsidR="0088272D" w:rsidRPr="007C487A" w:rsidRDefault="0088272D" w:rsidP="0088272D">
      <w:pPr>
        <w:rPr>
          <w:i/>
          <w:szCs w:val="22"/>
          <w:u w:val="single"/>
        </w:rPr>
      </w:pPr>
    </w:p>
    <w:p w14:paraId="7300A493" w14:textId="77777777" w:rsidR="0088272D" w:rsidRPr="007C487A" w:rsidRDefault="0088272D" w:rsidP="0088272D">
      <w:pPr>
        <w:rPr>
          <w:szCs w:val="22"/>
        </w:rPr>
      </w:pPr>
      <w:r w:rsidRPr="007C487A">
        <w:rPr>
          <w:szCs w:val="22"/>
          <w:u w:val="single"/>
        </w:rPr>
        <w:t>Eloszlás</w:t>
      </w:r>
      <w:r w:rsidRPr="007C487A">
        <w:rPr>
          <w:szCs w:val="22"/>
        </w:rPr>
        <w:t>:</w:t>
      </w:r>
      <w:r w:rsidRPr="007C487A">
        <w:rPr>
          <w:i/>
          <w:szCs w:val="22"/>
        </w:rPr>
        <w:t xml:space="preserve"> </w:t>
      </w:r>
      <w:r w:rsidRPr="007C487A">
        <w:rPr>
          <w:szCs w:val="22"/>
        </w:rPr>
        <w:t xml:space="preserve">A </w:t>
      </w:r>
      <w:proofErr w:type="spellStart"/>
      <w:r w:rsidRPr="007C487A">
        <w:rPr>
          <w:szCs w:val="22"/>
        </w:rPr>
        <w:t>flumazenil</w:t>
      </w:r>
      <w:proofErr w:type="spellEnd"/>
      <w:r w:rsidRPr="007C487A">
        <w:rPr>
          <w:szCs w:val="22"/>
        </w:rPr>
        <w:t xml:space="preserve"> gyenge </w:t>
      </w:r>
      <w:proofErr w:type="spellStart"/>
      <w:r w:rsidRPr="007C487A">
        <w:rPr>
          <w:szCs w:val="22"/>
        </w:rPr>
        <w:t>lipofil</w:t>
      </w:r>
      <w:proofErr w:type="spellEnd"/>
      <w:r w:rsidRPr="007C487A">
        <w:rPr>
          <w:szCs w:val="22"/>
        </w:rPr>
        <w:t xml:space="preserve"> bázis, kötődése a fehérjékhez </w:t>
      </w:r>
      <w:proofErr w:type="spellStart"/>
      <w:r w:rsidRPr="007C487A">
        <w:rPr>
          <w:szCs w:val="22"/>
        </w:rPr>
        <w:t>kb</w:t>
      </w:r>
      <w:proofErr w:type="spellEnd"/>
      <w:r w:rsidRPr="007C487A">
        <w:rPr>
          <w:szCs w:val="22"/>
        </w:rPr>
        <w:t xml:space="preserve"> 50%-</w:t>
      </w:r>
      <w:proofErr w:type="spellStart"/>
      <w:r w:rsidRPr="007C487A">
        <w:rPr>
          <w:szCs w:val="22"/>
        </w:rPr>
        <w:t>os</w:t>
      </w:r>
      <w:proofErr w:type="spellEnd"/>
      <w:r w:rsidRPr="007C487A">
        <w:rPr>
          <w:szCs w:val="22"/>
        </w:rPr>
        <w:t>, 2/3 részben albuminhoz kötődik. Nagymértékben eloszlik a szövetekben. A vegyület átlagos eliminációs felezési ideje 53 perc. Az átlagos eloszlási térfogat egyensúlyi állapotban (</w:t>
      </w:r>
      <w:proofErr w:type="spellStart"/>
      <w:r w:rsidRPr="007C487A">
        <w:rPr>
          <w:szCs w:val="22"/>
        </w:rPr>
        <w:t>Vss</w:t>
      </w:r>
      <w:proofErr w:type="spellEnd"/>
      <w:r w:rsidRPr="007C487A">
        <w:rPr>
          <w:szCs w:val="22"/>
        </w:rPr>
        <w:t xml:space="preserve">=0,95 l/kg), hasonló a szerkezetileg rokon </w:t>
      </w:r>
      <w:proofErr w:type="spellStart"/>
      <w:r w:rsidRPr="007C487A">
        <w:rPr>
          <w:szCs w:val="22"/>
        </w:rPr>
        <w:t>benzodiazepinekéhez</w:t>
      </w:r>
      <w:proofErr w:type="spellEnd"/>
      <w:r w:rsidRPr="007C487A">
        <w:rPr>
          <w:szCs w:val="22"/>
        </w:rPr>
        <w:t>, ami a készítmény szöveti kötődésére vagy megoszlására mutat.</w:t>
      </w:r>
    </w:p>
    <w:p w14:paraId="7AB68772" w14:textId="77777777" w:rsidR="0088272D" w:rsidRPr="007C487A" w:rsidRDefault="0088272D" w:rsidP="0088272D">
      <w:pPr>
        <w:rPr>
          <w:i/>
          <w:szCs w:val="22"/>
          <w:u w:val="single"/>
        </w:rPr>
      </w:pPr>
    </w:p>
    <w:p w14:paraId="47771DEB" w14:textId="77777777" w:rsidR="0088272D" w:rsidRPr="007C487A" w:rsidRDefault="0088272D" w:rsidP="0088272D">
      <w:pPr>
        <w:rPr>
          <w:szCs w:val="22"/>
        </w:rPr>
      </w:pPr>
      <w:proofErr w:type="spellStart"/>
      <w:r w:rsidRPr="007C487A">
        <w:rPr>
          <w:szCs w:val="22"/>
          <w:u w:val="single"/>
        </w:rPr>
        <w:t>Biotranszformáció</w:t>
      </w:r>
      <w:proofErr w:type="spellEnd"/>
      <w:r w:rsidRPr="007C487A">
        <w:rPr>
          <w:szCs w:val="22"/>
        </w:rPr>
        <w:t>:</w:t>
      </w:r>
      <w:r w:rsidRPr="007C487A">
        <w:rPr>
          <w:i/>
          <w:szCs w:val="22"/>
        </w:rPr>
        <w:t xml:space="preserve"> </w:t>
      </w:r>
      <w:r w:rsidRPr="007C487A">
        <w:rPr>
          <w:szCs w:val="22"/>
        </w:rPr>
        <w:t xml:space="preserve">A </w:t>
      </w:r>
      <w:proofErr w:type="spellStart"/>
      <w:r w:rsidRPr="007C487A">
        <w:rPr>
          <w:szCs w:val="22"/>
        </w:rPr>
        <w:t>flumazenil</w:t>
      </w:r>
      <w:proofErr w:type="spellEnd"/>
      <w:r w:rsidRPr="007C487A">
        <w:rPr>
          <w:szCs w:val="22"/>
        </w:rPr>
        <w:t xml:space="preserve"> nagymértékben </w:t>
      </w:r>
      <w:proofErr w:type="spellStart"/>
      <w:r w:rsidRPr="007C487A">
        <w:rPr>
          <w:szCs w:val="22"/>
        </w:rPr>
        <w:t>metabolizálódik</w:t>
      </w:r>
      <w:proofErr w:type="spellEnd"/>
      <w:r w:rsidRPr="007C487A">
        <w:rPr>
          <w:szCs w:val="22"/>
        </w:rPr>
        <w:t xml:space="preserve"> a májban. Humán vizeletben a fő </w:t>
      </w:r>
      <w:proofErr w:type="spellStart"/>
      <w:r w:rsidRPr="007C487A">
        <w:rPr>
          <w:szCs w:val="22"/>
        </w:rPr>
        <w:t>metabolit</w:t>
      </w:r>
      <w:proofErr w:type="spellEnd"/>
      <w:r w:rsidRPr="007C487A">
        <w:rPr>
          <w:szCs w:val="22"/>
        </w:rPr>
        <w:t xml:space="preserve"> a </w:t>
      </w:r>
      <w:proofErr w:type="spellStart"/>
      <w:r w:rsidRPr="007C487A">
        <w:rPr>
          <w:szCs w:val="22"/>
        </w:rPr>
        <w:t>karboxilsav</w:t>
      </w:r>
      <w:proofErr w:type="spellEnd"/>
      <w:r w:rsidRPr="007C487A">
        <w:rPr>
          <w:szCs w:val="22"/>
        </w:rPr>
        <w:t xml:space="preserve">, szabad és </w:t>
      </w:r>
      <w:proofErr w:type="spellStart"/>
      <w:r w:rsidRPr="007C487A">
        <w:rPr>
          <w:szCs w:val="22"/>
        </w:rPr>
        <w:t>glükuronid</w:t>
      </w:r>
      <w:proofErr w:type="spellEnd"/>
      <w:r w:rsidRPr="007C487A">
        <w:rPr>
          <w:szCs w:val="22"/>
        </w:rPr>
        <w:t xml:space="preserve"> formában. A fő </w:t>
      </w:r>
      <w:proofErr w:type="spellStart"/>
      <w:r w:rsidRPr="007C487A">
        <w:rPr>
          <w:szCs w:val="22"/>
        </w:rPr>
        <w:t>metabolitnak</w:t>
      </w:r>
      <w:proofErr w:type="spellEnd"/>
      <w:r w:rsidRPr="007C487A">
        <w:rPr>
          <w:szCs w:val="22"/>
        </w:rPr>
        <w:t xml:space="preserve"> farmakológiai tesztekben nincs </w:t>
      </w:r>
      <w:proofErr w:type="spellStart"/>
      <w:r w:rsidRPr="007C487A">
        <w:rPr>
          <w:szCs w:val="22"/>
        </w:rPr>
        <w:t>benzodiazepin</w:t>
      </w:r>
      <w:proofErr w:type="spellEnd"/>
      <w:r w:rsidRPr="007C487A">
        <w:rPr>
          <w:szCs w:val="22"/>
        </w:rPr>
        <w:t xml:space="preserve"> </w:t>
      </w:r>
      <w:proofErr w:type="spellStart"/>
      <w:r w:rsidRPr="007C487A">
        <w:rPr>
          <w:szCs w:val="22"/>
        </w:rPr>
        <w:t>agonista</w:t>
      </w:r>
      <w:proofErr w:type="spellEnd"/>
      <w:r w:rsidRPr="007C487A">
        <w:rPr>
          <w:szCs w:val="22"/>
        </w:rPr>
        <w:t xml:space="preserve"> vagy </w:t>
      </w:r>
      <w:proofErr w:type="spellStart"/>
      <w:r w:rsidRPr="007C487A">
        <w:rPr>
          <w:szCs w:val="22"/>
        </w:rPr>
        <w:t>antagonista</w:t>
      </w:r>
      <w:proofErr w:type="spellEnd"/>
      <w:r w:rsidRPr="007C487A">
        <w:rPr>
          <w:szCs w:val="22"/>
        </w:rPr>
        <w:t xml:space="preserve"> hatása.</w:t>
      </w:r>
    </w:p>
    <w:p w14:paraId="3FC3A3CD" w14:textId="77777777" w:rsidR="0088272D" w:rsidRPr="007C487A" w:rsidRDefault="0088272D" w:rsidP="0088272D">
      <w:pPr>
        <w:rPr>
          <w:i/>
          <w:szCs w:val="22"/>
          <w:u w:val="single"/>
        </w:rPr>
      </w:pPr>
    </w:p>
    <w:p w14:paraId="4F6FCABC" w14:textId="77777777" w:rsidR="0088272D" w:rsidRPr="007C487A" w:rsidRDefault="0088272D" w:rsidP="0088272D">
      <w:pPr>
        <w:rPr>
          <w:szCs w:val="22"/>
        </w:rPr>
      </w:pPr>
      <w:r w:rsidRPr="007C487A">
        <w:rPr>
          <w:szCs w:val="22"/>
          <w:u w:val="single"/>
        </w:rPr>
        <w:t>Elimináció</w:t>
      </w:r>
      <w:r w:rsidRPr="007C487A">
        <w:rPr>
          <w:szCs w:val="22"/>
        </w:rPr>
        <w:t>:</w:t>
      </w:r>
      <w:r w:rsidRPr="007C487A">
        <w:rPr>
          <w:i/>
          <w:szCs w:val="22"/>
        </w:rPr>
        <w:t xml:space="preserve"> </w:t>
      </w:r>
      <w:r w:rsidRPr="007C487A">
        <w:rPr>
          <w:szCs w:val="22"/>
        </w:rPr>
        <w:t xml:space="preserve">A </w:t>
      </w:r>
      <w:proofErr w:type="spellStart"/>
      <w:r w:rsidRPr="007C487A">
        <w:rPr>
          <w:szCs w:val="22"/>
        </w:rPr>
        <w:t>flumazenil</w:t>
      </w:r>
      <w:proofErr w:type="spellEnd"/>
      <w:r w:rsidRPr="007C487A">
        <w:rPr>
          <w:szCs w:val="22"/>
        </w:rPr>
        <w:t xml:space="preserve"> csaknem teljes mértékben (99%) nem </w:t>
      </w:r>
      <w:proofErr w:type="spellStart"/>
      <w:r w:rsidRPr="007C487A">
        <w:rPr>
          <w:szCs w:val="22"/>
        </w:rPr>
        <w:t>renális</w:t>
      </w:r>
      <w:proofErr w:type="spellEnd"/>
      <w:r w:rsidRPr="007C487A">
        <w:rPr>
          <w:szCs w:val="22"/>
        </w:rPr>
        <w:t xml:space="preserve"> úton </w:t>
      </w:r>
      <w:proofErr w:type="spellStart"/>
      <w:r w:rsidRPr="007C487A">
        <w:rPr>
          <w:szCs w:val="22"/>
        </w:rPr>
        <w:t>eliminálódik</w:t>
      </w:r>
      <w:proofErr w:type="spellEnd"/>
      <w:r w:rsidRPr="007C487A">
        <w:rPr>
          <w:szCs w:val="22"/>
        </w:rPr>
        <w:t xml:space="preserve">. Az alacsony vese </w:t>
      </w:r>
      <w:proofErr w:type="spellStart"/>
      <w:r w:rsidRPr="007C487A">
        <w:rPr>
          <w:szCs w:val="22"/>
        </w:rPr>
        <w:t>clearance</w:t>
      </w:r>
      <w:proofErr w:type="spellEnd"/>
      <w:r w:rsidRPr="007C487A">
        <w:rPr>
          <w:szCs w:val="22"/>
        </w:rPr>
        <w:t xml:space="preserve"> arra utal, hogy a készítmény aktívan </w:t>
      </w:r>
      <w:proofErr w:type="spellStart"/>
      <w:r w:rsidRPr="007C487A">
        <w:rPr>
          <w:szCs w:val="22"/>
        </w:rPr>
        <w:t>reabszorbeálódik</w:t>
      </w:r>
      <w:proofErr w:type="spellEnd"/>
      <w:r w:rsidRPr="007C487A">
        <w:rPr>
          <w:szCs w:val="22"/>
        </w:rPr>
        <w:t xml:space="preserve">. </w:t>
      </w:r>
    </w:p>
    <w:p w14:paraId="0EC17148" w14:textId="77777777" w:rsidR="0088272D" w:rsidRPr="007C487A" w:rsidRDefault="0088272D" w:rsidP="0088272D">
      <w:pPr>
        <w:rPr>
          <w:szCs w:val="22"/>
        </w:rPr>
      </w:pPr>
      <w:r w:rsidRPr="007C487A">
        <w:rPr>
          <w:szCs w:val="22"/>
        </w:rPr>
        <w:t xml:space="preserve">Radioaktívan jelölt hatóanyaggal végzett vizsgálatokban a teljes elimináció 72 óra alatt történt meg, a radioaktivitás 90-95%-a </w:t>
      </w:r>
      <w:proofErr w:type="spellStart"/>
      <w:r w:rsidRPr="007C487A">
        <w:rPr>
          <w:szCs w:val="22"/>
        </w:rPr>
        <w:t>a</w:t>
      </w:r>
      <w:proofErr w:type="spellEnd"/>
      <w:r w:rsidRPr="007C487A">
        <w:rPr>
          <w:szCs w:val="22"/>
        </w:rPr>
        <w:t xml:space="preserve"> vizeletben detektálható a </w:t>
      </w:r>
      <w:proofErr w:type="spellStart"/>
      <w:r w:rsidRPr="007C487A">
        <w:rPr>
          <w:szCs w:val="22"/>
        </w:rPr>
        <w:t>metabolitok</w:t>
      </w:r>
      <w:proofErr w:type="spellEnd"/>
      <w:r w:rsidRPr="007C487A">
        <w:rPr>
          <w:szCs w:val="22"/>
        </w:rPr>
        <w:t xml:space="preserve"> miatt, a széklettel 5-10% ürül. Az </w:t>
      </w:r>
      <w:proofErr w:type="spellStart"/>
      <w:r w:rsidRPr="007C487A">
        <w:rPr>
          <w:szCs w:val="22"/>
        </w:rPr>
        <w:t>Anexate</w:t>
      </w:r>
      <w:proofErr w:type="spellEnd"/>
      <w:r w:rsidRPr="007C487A">
        <w:rPr>
          <w:szCs w:val="22"/>
        </w:rPr>
        <w:t xml:space="preserve"> hatóanyagának </w:t>
      </w:r>
      <w:proofErr w:type="spellStart"/>
      <w:r w:rsidRPr="007C487A">
        <w:rPr>
          <w:szCs w:val="22"/>
        </w:rPr>
        <w:t>össz</w:t>
      </w:r>
      <w:proofErr w:type="spellEnd"/>
      <w:r w:rsidRPr="007C487A">
        <w:rPr>
          <w:szCs w:val="22"/>
        </w:rPr>
        <w:t xml:space="preserve"> plazma </w:t>
      </w:r>
      <w:proofErr w:type="spellStart"/>
      <w:r w:rsidRPr="007C487A">
        <w:rPr>
          <w:szCs w:val="22"/>
        </w:rPr>
        <w:t>clearance</w:t>
      </w:r>
      <w:proofErr w:type="spellEnd"/>
      <w:r w:rsidRPr="007C487A">
        <w:rPr>
          <w:szCs w:val="22"/>
        </w:rPr>
        <w:t xml:space="preserve">-e átlagosan 1 liter per perc és csaknem teljes egészében a máj </w:t>
      </w:r>
      <w:proofErr w:type="spellStart"/>
      <w:r w:rsidRPr="007C487A">
        <w:rPr>
          <w:szCs w:val="22"/>
        </w:rPr>
        <w:t>clearance-nek</w:t>
      </w:r>
      <w:proofErr w:type="spellEnd"/>
      <w:r w:rsidRPr="007C487A">
        <w:rPr>
          <w:szCs w:val="22"/>
        </w:rPr>
        <w:t xml:space="preserve"> tulajdonítható.</w:t>
      </w:r>
    </w:p>
    <w:p w14:paraId="2E23889C" w14:textId="77777777" w:rsidR="0088272D" w:rsidRPr="007C487A" w:rsidRDefault="0088272D" w:rsidP="0088272D">
      <w:pPr>
        <w:rPr>
          <w:szCs w:val="22"/>
        </w:rPr>
      </w:pPr>
      <w:r w:rsidRPr="007C487A">
        <w:rPr>
          <w:szCs w:val="22"/>
        </w:rPr>
        <w:t xml:space="preserve">A </w:t>
      </w:r>
      <w:proofErr w:type="spellStart"/>
      <w:r w:rsidRPr="007C487A">
        <w:rPr>
          <w:szCs w:val="22"/>
        </w:rPr>
        <w:t>flumazenil</w:t>
      </w:r>
      <w:proofErr w:type="spellEnd"/>
      <w:r w:rsidRPr="007C487A">
        <w:rPr>
          <w:szCs w:val="22"/>
        </w:rPr>
        <w:t xml:space="preserve"> intravénás infúziója alatt fogyasztott étel a </w:t>
      </w:r>
      <w:proofErr w:type="spellStart"/>
      <w:r w:rsidRPr="007C487A">
        <w:rPr>
          <w:szCs w:val="22"/>
        </w:rPr>
        <w:t>clearance</w:t>
      </w:r>
      <w:proofErr w:type="spellEnd"/>
      <w:r w:rsidRPr="007C487A">
        <w:rPr>
          <w:szCs w:val="22"/>
        </w:rPr>
        <w:t xml:space="preserve"> 50%-</w:t>
      </w:r>
      <w:proofErr w:type="spellStart"/>
      <w:r w:rsidRPr="007C487A">
        <w:rPr>
          <w:szCs w:val="22"/>
        </w:rPr>
        <w:t>os</w:t>
      </w:r>
      <w:proofErr w:type="spellEnd"/>
      <w:r w:rsidRPr="007C487A">
        <w:rPr>
          <w:szCs w:val="22"/>
        </w:rPr>
        <w:t xml:space="preserve"> növekedését okozza, ami valószínűleg a máj étkezés alatt megnövekedett vérátáramlásának eredménye.</w:t>
      </w:r>
    </w:p>
    <w:p w14:paraId="243C9E04" w14:textId="77777777" w:rsidR="0088272D" w:rsidRPr="007C487A" w:rsidRDefault="0088272D" w:rsidP="0088272D">
      <w:pPr>
        <w:rPr>
          <w:szCs w:val="22"/>
        </w:rPr>
      </w:pPr>
      <w:r w:rsidRPr="007C487A">
        <w:rPr>
          <w:szCs w:val="22"/>
        </w:rPr>
        <w:lastRenderedPageBreak/>
        <w:t xml:space="preserve">Egyes </w:t>
      </w:r>
      <w:proofErr w:type="spellStart"/>
      <w:r w:rsidRPr="007C487A">
        <w:rPr>
          <w:szCs w:val="22"/>
        </w:rPr>
        <w:t>benzodiazepinek</w:t>
      </w:r>
      <w:proofErr w:type="spellEnd"/>
      <w:r w:rsidRPr="007C487A">
        <w:rPr>
          <w:szCs w:val="22"/>
        </w:rPr>
        <w:t xml:space="preserve">, pl. a </w:t>
      </w:r>
      <w:proofErr w:type="spellStart"/>
      <w:r w:rsidRPr="007C487A">
        <w:rPr>
          <w:szCs w:val="22"/>
        </w:rPr>
        <w:t>midazolam</w:t>
      </w:r>
      <w:proofErr w:type="spellEnd"/>
      <w:r w:rsidRPr="007C487A">
        <w:rPr>
          <w:szCs w:val="22"/>
        </w:rPr>
        <w:t xml:space="preserve">, </w:t>
      </w:r>
      <w:proofErr w:type="spellStart"/>
      <w:r w:rsidRPr="007C487A">
        <w:rPr>
          <w:szCs w:val="22"/>
        </w:rPr>
        <w:t>flunitrazepam</w:t>
      </w:r>
      <w:proofErr w:type="spellEnd"/>
      <w:r w:rsidRPr="007C487A">
        <w:rPr>
          <w:szCs w:val="22"/>
        </w:rPr>
        <w:t xml:space="preserve">, vagy </w:t>
      </w:r>
      <w:proofErr w:type="spellStart"/>
      <w:r w:rsidRPr="007C487A">
        <w:rPr>
          <w:szCs w:val="22"/>
        </w:rPr>
        <w:t>lormetazepam</w:t>
      </w:r>
      <w:proofErr w:type="spellEnd"/>
      <w:r w:rsidRPr="007C487A">
        <w:rPr>
          <w:szCs w:val="22"/>
        </w:rPr>
        <w:t xml:space="preserve"> </w:t>
      </w:r>
      <w:proofErr w:type="spellStart"/>
      <w:r w:rsidRPr="007C487A">
        <w:rPr>
          <w:szCs w:val="22"/>
        </w:rPr>
        <w:t>együttadásakor</w:t>
      </w:r>
      <w:proofErr w:type="spellEnd"/>
      <w:r w:rsidRPr="007C487A">
        <w:rPr>
          <w:szCs w:val="22"/>
        </w:rPr>
        <w:t xml:space="preserve">, az </w:t>
      </w:r>
      <w:proofErr w:type="spellStart"/>
      <w:r w:rsidRPr="007C487A">
        <w:rPr>
          <w:szCs w:val="22"/>
        </w:rPr>
        <w:t>Anexate</w:t>
      </w:r>
      <w:proofErr w:type="spellEnd"/>
      <w:r w:rsidRPr="007C487A">
        <w:rPr>
          <w:szCs w:val="22"/>
        </w:rPr>
        <w:t xml:space="preserve"> hatóanyagának </w:t>
      </w:r>
      <w:proofErr w:type="spellStart"/>
      <w:r w:rsidRPr="007C487A">
        <w:rPr>
          <w:szCs w:val="22"/>
        </w:rPr>
        <w:t>farmakokinetikai</w:t>
      </w:r>
      <w:proofErr w:type="spellEnd"/>
      <w:r w:rsidRPr="007C487A">
        <w:rPr>
          <w:szCs w:val="22"/>
        </w:rPr>
        <w:t xml:space="preserve"> paraméterei lényegében nem változtak meg.</w:t>
      </w:r>
    </w:p>
    <w:p w14:paraId="4486D505" w14:textId="77777777" w:rsidR="0088272D" w:rsidRPr="007C487A" w:rsidRDefault="0088272D" w:rsidP="0088272D">
      <w:pPr>
        <w:rPr>
          <w:szCs w:val="22"/>
        </w:rPr>
      </w:pPr>
      <w:r w:rsidRPr="007C487A">
        <w:rPr>
          <w:szCs w:val="22"/>
        </w:rPr>
        <w:t xml:space="preserve">Az etanol és a </w:t>
      </w:r>
      <w:proofErr w:type="spellStart"/>
      <w:r w:rsidRPr="007C487A">
        <w:rPr>
          <w:szCs w:val="22"/>
        </w:rPr>
        <w:t>flumazenil</w:t>
      </w:r>
      <w:proofErr w:type="spellEnd"/>
      <w:r w:rsidRPr="007C487A">
        <w:rPr>
          <w:szCs w:val="22"/>
        </w:rPr>
        <w:t xml:space="preserve"> között nincs </w:t>
      </w:r>
      <w:proofErr w:type="spellStart"/>
      <w:r w:rsidRPr="007C487A">
        <w:rPr>
          <w:szCs w:val="22"/>
        </w:rPr>
        <w:t>farmakokinetikai</w:t>
      </w:r>
      <w:proofErr w:type="spellEnd"/>
      <w:r w:rsidRPr="007C487A">
        <w:rPr>
          <w:szCs w:val="22"/>
        </w:rPr>
        <w:t xml:space="preserve"> kölcsönhatás.</w:t>
      </w:r>
    </w:p>
    <w:p w14:paraId="03A70B4B" w14:textId="77777777" w:rsidR="0088272D" w:rsidRPr="007C487A" w:rsidRDefault="0088272D" w:rsidP="0088272D">
      <w:pPr>
        <w:rPr>
          <w:szCs w:val="22"/>
        </w:rPr>
      </w:pPr>
      <w:r w:rsidRPr="007C487A">
        <w:rPr>
          <w:szCs w:val="22"/>
        </w:rPr>
        <w:t xml:space="preserve">Nincs különbség a </w:t>
      </w:r>
      <w:proofErr w:type="spellStart"/>
      <w:r w:rsidRPr="007C487A">
        <w:rPr>
          <w:szCs w:val="22"/>
        </w:rPr>
        <w:t>farmakokinetikában</w:t>
      </w:r>
      <w:proofErr w:type="spellEnd"/>
      <w:r w:rsidRPr="007C487A">
        <w:rPr>
          <w:szCs w:val="22"/>
        </w:rPr>
        <w:t xml:space="preserve"> egyszeri vagy többszöri adagolás után. A készítmény nem </w:t>
      </w:r>
      <w:proofErr w:type="spellStart"/>
      <w:r w:rsidRPr="007C487A">
        <w:rPr>
          <w:szCs w:val="22"/>
        </w:rPr>
        <w:t>kumulálódik</w:t>
      </w:r>
      <w:proofErr w:type="spellEnd"/>
      <w:r w:rsidRPr="007C487A">
        <w:rPr>
          <w:szCs w:val="22"/>
        </w:rPr>
        <w:t>.</w:t>
      </w:r>
    </w:p>
    <w:p w14:paraId="3A68F3FE" w14:textId="77777777" w:rsidR="0088272D" w:rsidRPr="007C487A" w:rsidRDefault="0088272D" w:rsidP="0088272D">
      <w:pPr>
        <w:rPr>
          <w:szCs w:val="22"/>
        </w:rPr>
      </w:pPr>
      <w:r w:rsidRPr="007C487A">
        <w:rPr>
          <w:szCs w:val="22"/>
        </w:rPr>
        <w:t xml:space="preserve">Az eddig végzett </w:t>
      </w:r>
      <w:proofErr w:type="spellStart"/>
      <w:r w:rsidRPr="007C487A">
        <w:rPr>
          <w:szCs w:val="22"/>
        </w:rPr>
        <w:t>farmakokinetikai</w:t>
      </w:r>
      <w:proofErr w:type="spellEnd"/>
      <w:r w:rsidRPr="007C487A">
        <w:rPr>
          <w:szCs w:val="22"/>
        </w:rPr>
        <w:t xml:space="preserve"> vizsgálatok azt mutatták, hogy a májelégtelenségben szenvedő betegeknél a </w:t>
      </w:r>
      <w:proofErr w:type="spellStart"/>
      <w:r w:rsidRPr="007C487A">
        <w:rPr>
          <w:szCs w:val="22"/>
        </w:rPr>
        <w:t>flumazenileliminációs</w:t>
      </w:r>
      <w:proofErr w:type="spellEnd"/>
      <w:r w:rsidRPr="007C487A">
        <w:rPr>
          <w:szCs w:val="22"/>
        </w:rPr>
        <w:t xml:space="preserve"> felezési ideje kétszeresére nő (1,3 óra a közepesen súlyos és 2,4 óra súlyos májkárosodásban), a szisztémás </w:t>
      </w:r>
      <w:proofErr w:type="spellStart"/>
      <w:r w:rsidRPr="007C487A">
        <w:rPr>
          <w:szCs w:val="22"/>
        </w:rPr>
        <w:t>clearance</w:t>
      </w:r>
      <w:proofErr w:type="spellEnd"/>
      <w:r w:rsidRPr="007C487A">
        <w:rPr>
          <w:szCs w:val="22"/>
        </w:rPr>
        <w:t xml:space="preserve"> nagyjából </w:t>
      </w:r>
      <w:proofErr w:type="spellStart"/>
      <w:r w:rsidRPr="007C487A">
        <w:rPr>
          <w:szCs w:val="22"/>
        </w:rPr>
        <w:t>megfeleződik</w:t>
      </w:r>
      <w:proofErr w:type="spellEnd"/>
      <w:r w:rsidRPr="007C487A">
        <w:rPr>
          <w:szCs w:val="22"/>
        </w:rPr>
        <w:t>. Ezeken a betegeken célszerű a dózist egyénileg megállapítani.</w:t>
      </w:r>
    </w:p>
    <w:p w14:paraId="67653681" w14:textId="77777777" w:rsidR="0088272D" w:rsidRPr="007C487A" w:rsidRDefault="0088272D" w:rsidP="0088272D">
      <w:pPr>
        <w:rPr>
          <w:szCs w:val="22"/>
        </w:rPr>
      </w:pPr>
    </w:p>
    <w:p w14:paraId="30E8EDE6" w14:textId="77777777" w:rsidR="0088272D" w:rsidRPr="007C487A" w:rsidRDefault="0088272D" w:rsidP="0088272D">
      <w:pPr>
        <w:rPr>
          <w:szCs w:val="22"/>
        </w:rPr>
      </w:pPr>
      <w:r w:rsidRPr="007C487A">
        <w:rPr>
          <w:szCs w:val="22"/>
        </w:rPr>
        <w:t xml:space="preserve">A </w:t>
      </w:r>
      <w:proofErr w:type="spellStart"/>
      <w:r w:rsidRPr="007C487A">
        <w:rPr>
          <w:szCs w:val="22"/>
        </w:rPr>
        <w:t>farmakokinetika</w:t>
      </w:r>
      <w:proofErr w:type="spellEnd"/>
      <w:r w:rsidRPr="007C487A">
        <w:rPr>
          <w:szCs w:val="22"/>
        </w:rPr>
        <w:t xml:space="preserve"> változatlan idős betegeken, veseelégtelenségben és </w:t>
      </w:r>
      <w:proofErr w:type="spellStart"/>
      <w:r w:rsidRPr="007C487A">
        <w:rPr>
          <w:szCs w:val="22"/>
        </w:rPr>
        <w:t>hemodializált</w:t>
      </w:r>
      <w:proofErr w:type="spellEnd"/>
      <w:r w:rsidRPr="007C487A">
        <w:rPr>
          <w:szCs w:val="22"/>
        </w:rPr>
        <w:t xml:space="preserve"> betegeken és nem függ a beteg nemétől. </w:t>
      </w:r>
    </w:p>
    <w:p w14:paraId="72FB4DC5" w14:textId="77777777" w:rsidR="0088272D" w:rsidRPr="007C487A" w:rsidRDefault="0088272D" w:rsidP="0088272D">
      <w:pPr>
        <w:rPr>
          <w:szCs w:val="22"/>
        </w:rPr>
      </w:pPr>
    </w:p>
    <w:p w14:paraId="2DE367C4" w14:textId="77777777" w:rsidR="0088272D" w:rsidRPr="007C487A" w:rsidRDefault="0088272D" w:rsidP="0088272D">
      <w:pPr>
        <w:rPr>
          <w:szCs w:val="22"/>
          <w:u w:val="single"/>
        </w:rPr>
      </w:pPr>
      <w:r w:rsidRPr="007C487A">
        <w:rPr>
          <w:szCs w:val="22"/>
          <w:u w:val="single"/>
        </w:rPr>
        <w:t>Gyermekek</w:t>
      </w:r>
    </w:p>
    <w:p w14:paraId="0810A4F2" w14:textId="77777777" w:rsidR="0088272D" w:rsidRPr="007C487A" w:rsidRDefault="0088272D" w:rsidP="0088272D">
      <w:pPr>
        <w:rPr>
          <w:szCs w:val="22"/>
        </w:rPr>
      </w:pPr>
      <w:r w:rsidRPr="007C487A">
        <w:rPr>
          <w:szCs w:val="22"/>
        </w:rPr>
        <w:t xml:space="preserve">1 évesnél idősebb gyermekeknél az eliminációs felezési idő rövidebb és változatosabb, mint a felnőtteknél, Körülbelül 40 perc ami 20 és 75 perc között változik, A </w:t>
      </w:r>
      <w:proofErr w:type="spellStart"/>
      <w:r w:rsidRPr="007C487A">
        <w:rPr>
          <w:szCs w:val="22"/>
        </w:rPr>
        <w:t>clearance</w:t>
      </w:r>
      <w:proofErr w:type="spellEnd"/>
      <w:r w:rsidRPr="007C487A">
        <w:rPr>
          <w:szCs w:val="22"/>
        </w:rPr>
        <w:t xml:space="preserve"> és a megoszlási volumen azonban hasonló a felnőttekéhez, a testsúlyt figyelembe véve.</w:t>
      </w:r>
    </w:p>
    <w:p w14:paraId="01948A1F" w14:textId="77777777" w:rsidR="0088272D" w:rsidRPr="007C487A" w:rsidRDefault="0088272D" w:rsidP="0088272D">
      <w:pPr>
        <w:rPr>
          <w:szCs w:val="22"/>
        </w:rPr>
      </w:pPr>
    </w:p>
    <w:p w14:paraId="3A836F33" w14:textId="77777777" w:rsidR="0088272D" w:rsidRPr="007C487A" w:rsidRDefault="0088272D" w:rsidP="0088272D">
      <w:pPr>
        <w:rPr>
          <w:szCs w:val="22"/>
        </w:rPr>
      </w:pPr>
    </w:p>
    <w:p w14:paraId="5F4DCA3F" w14:textId="77777777" w:rsidR="0088272D" w:rsidRPr="007C487A" w:rsidRDefault="0088272D" w:rsidP="0088272D">
      <w:pPr>
        <w:suppressAutoHyphens w:val="0"/>
        <w:ind w:left="567" w:hanging="567"/>
        <w:rPr>
          <w:b/>
          <w:szCs w:val="22"/>
          <w:lang w:eastAsia="ja-JP"/>
        </w:rPr>
      </w:pPr>
      <w:r w:rsidRPr="007C487A">
        <w:rPr>
          <w:b/>
          <w:szCs w:val="22"/>
          <w:lang w:eastAsia="ja-JP"/>
        </w:rPr>
        <w:t>5.3</w:t>
      </w:r>
      <w:r w:rsidRPr="007C487A">
        <w:rPr>
          <w:b/>
          <w:szCs w:val="22"/>
          <w:lang w:eastAsia="ja-JP"/>
        </w:rPr>
        <w:tab/>
        <w:t xml:space="preserve">A </w:t>
      </w:r>
      <w:proofErr w:type="spellStart"/>
      <w:r w:rsidRPr="007C487A">
        <w:rPr>
          <w:b/>
          <w:szCs w:val="22"/>
          <w:lang w:eastAsia="ja-JP"/>
        </w:rPr>
        <w:t>preklinikai</w:t>
      </w:r>
      <w:proofErr w:type="spellEnd"/>
      <w:r w:rsidRPr="007C487A">
        <w:rPr>
          <w:b/>
          <w:szCs w:val="22"/>
          <w:lang w:eastAsia="ja-JP"/>
        </w:rPr>
        <w:t xml:space="preserve"> biztonságossági vizsgálatok eredményei</w:t>
      </w:r>
    </w:p>
    <w:p w14:paraId="4654CC92" w14:textId="77777777" w:rsidR="0088272D" w:rsidRPr="007C487A" w:rsidRDefault="0088272D" w:rsidP="0088272D">
      <w:pPr>
        <w:pStyle w:val="Szvegtrzs"/>
        <w:spacing w:line="240" w:lineRule="auto"/>
        <w:rPr>
          <w:sz w:val="22"/>
          <w:szCs w:val="22"/>
          <w:lang w:val="hu-HU"/>
        </w:rPr>
      </w:pPr>
    </w:p>
    <w:p w14:paraId="3E38D647" w14:textId="77777777" w:rsidR="0088272D" w:rsidRPr="007C487A" w:rsidRDefault="0088272D" w:rsidP="0088272D">
      <w:pPr>
        <w:pStyle w:val="Szvegtrzs"/>
        <w:spacing w:line="240" w:lineRule="auto"/>
        <w:rPr>
          <w:sz w:val="22"/>
          <w:szCs w:val="22"/>
          <w:lang w:val="hu-HU"/>
        </w:rPr>
      </w:pPr>
      <w:r w:rsidRPr="007C487A">
        <w:rPr>
          <w:sz w:val="22"/>
          <w:szCs w:val="22"/>
          <w:lang w:val="hu-HU"/>
        </w:rPr>
        <w:t xml:space="preserve">Az állatkísérletes toxikológiai vizsgálatokban az </w:t>
      </w:r>
      <w:proofErr w:type="spellStart"/>
      <w:r w:rsidRPr="007C487A">
        <w:rPr>
          <w:sz w:val="22"/>
          <w:szCs w:val="22"/>
          <w:lang w:val="hu-HU"/>
        </w:rPr>
        <w:t>Anexate</w:t>
      </w:r>
      <w:proofErr w:type="spellEnd"/>
      <w:r w:rsidRPr="007C487A">
        <w:rPr>
          <w:sz w:val="22"/>
          <w:szCs w:val="22"/>
          <w:lang w:val="hu-HU"/>
        </w:rPr>
        <w:t xml:space="preserve"> toxicitása alacsony volt és nem volt mutagén hatása.</w:t>
      </w:r>
    </w:p>
    <w:p w14:paraId="25814872" w14:textId="77777777" w:rsidR="0088272D" w:rsidRPr="007C487A" w:rsidRDefault="0088272D" w:rsidP="0088272D">
      <w:pPr>
        <w:rPr>
          <w:szCs w:val="22"/>
        </w:rPr>
      </w:pPr>
      <w:r w:rsidRPr="007C487A">
        <w:rPr>
          <w:szCs w:val="22"/>
        </w:rPr>
        <w:t xml:space="preserve">Az akut toxikológiai vizsgálatokban a </w:t>
      </w:r>
      <w:proofErr w:type="spellStart"/>
      <w:r w:rsidRPr="007C487A">
        <w:rPr>
          <w:szCs w:val="22"/>
        </w:rPr>
        <w:t>flumazenil</w:t>
      </w:r>
      <w:proofErr w:type="spellEnd"/>
      <w:r w:rsidRPr="007C487A">
        <w:rPr>
          <w:szCs w:val="22"/>
        </w:rPr>
        <w:t xml:space="preserve"> intravénás LD</w:t>
      </w:r>
      <w:r w:rsidRPr="007C487A">
        <w:rPr>
          <w:szCs w:val="22"/>
          <w:vertAlign w:val="subscript"/>
        </w:rPr>
        <w:t>50</w:t>
      </w:r>
      <w:r w:rsidRPr="007C487A">
        <w:rPr>
          <w:szCs w:val="22"/>
        </w:rPr>
        <w:t> 160 mg/</w:t>
      </w:r>
      <w:proofErr w:type="spellStart"/>
      <w:r w:rsidRPr="007C487A">
        <w:rPr>
          <w:szCs w:val="22"/>
        </w:rPr>
        <w:t>ttkg</w:t>
      </w:r>
      <w:proofErr w:type="spellEnd"/>
      <w:r w:rsidRPr="007C487A">
        <w:rPr>
          <w:szCs w:val="22"/>
        </w:rPr>
        <w:t xml:space="preserve"> volt egéren, 120 mg/</w:t>
      </w:r>
      <w:proofErr w:type="spellStart"/>
      <w:r w:rsidRPr="007C487A">
        <w:rPr>
          <w:szCs w:val="22"/>
        </w:rPr>
        <w:t>ttkg</w:t>
      </w:r>
      <w:proofErr w:type="spellEnd"/>
      <w:r w:rsidRPr="007C487A">
        <w:rPr>
          <w:szCs w:val="22"/>
        </w:rPr>
        <w:t xml:space="preserve"> hím patkányon és 160 mg/</w:t>
      </w:r>
      <w:proofErr w:type="spellStart"/>
      <w:r w:rsidRPr="007C487A">
        <w:rPr>
          <w:szCs w:val="22"/>
        </w:rPr>
        <w:t>ttkg</w:t>
      </w:r>
      <w:proofErr w:type="spellEnd"/>
      <w:r w:rsidRPr="007C487A">
        <w:rPr>
          <w:szCs w:val="22"/>
        </w:rPr>
        <w:t xml:space="preserve"> nőstény patkányon.</w:t>
      </w:r>
    </w:p>
    <w:p w14:paraId="6BC51168" w14:textId="77777777" w:rsidR="0088272D" w:rsidRPr="007C487A" w:rsidRDefault="0088272D" w:rsidP="0088272D">
      <w:pPr>
        <w:rPr>
          <w:szCs w:val="22"/>
        </w:rPr>
      </w:pPr>
      <w:r w:rsidRPr="007C487A">
        <w:rPr>
          <w:szCs w:val="22"/>
        </w:rPr>
        <w:t xml:space="preserve">A per </w:t>
      </w:r>
      <w:proofErr w:type="spellStart"/>
      <w:r w:rsidRPr="007C487A">
        <w:rPr>
          <w:szCs w:val="22"/>
        </w:rPr>
        <w:t>os</w:t>
      </w:r>
      <w:proofErr w:type="spellEnd"/>
      <w:r w:rsidRPr="007C487A">
        <w:rPr>
          <w:szCs w:val="22"/>
        </w:rPr>
        <w:t xml:space="preserve"> LD</w:t>
      </w:r>
      <w:r w:rsidRPr="007C487A">
        <w:rPr>
          <w:szCs w:val="22"/>
          <w:vertAlign w:val="subscript"/>
        </w:rPr>
        <w:t>50</w:t>
      </w:r>
      <w:r w:rsidRPr="007C487A">
        <w:rPr>
          <w:szCs w:val="22"/>
        </w:rPr>
        <w:t xml:space="preserve"> 2500 és 1300 mg/</w:t>
      </w:r>
      <w:proofErr w:type="spellStart"/>
      <w:r w:rsidRPr="007C487A">
        <w:rPr>
          <w:szCs w:val="22"/>
        </w:rPr>
        <w:t>ttkg</w:t>
      </w:r>
      <w:proofErr w:type="spellEnd"/>
      <w:r w:rsidRPr="007C487A">
        <w:rPr>
          <w:szCs w:val="22"/>
        </w:rPr>
        <w:t xml:space="preserve"> volt hím ill. nőstény egéren és 4200 és 2200 mg/</w:t>
      </w:r>
      <w:proofErr w:type="spellStart"/>
      <w:r w:rsidRPr="007C487A">
        <w:rPr>
          <w:szCs w:val="22"/>
        </w:rPr>
        <w:t>ttkg</w:t>
      </w:r>
      <w:proofErr w:type="spellEnd"/>
      <w:r w:rsidRPr="007C487A">
        <w:rPr>
          <w:szCs w:val="22"/>
        </w:rPr>
        <w:t xml:space="preserve"> hím ill. nőstény patkányon. </w:t>
      </w:r>
    </w:p>
    <w:p w14:paraId="0239B460" w14:textId="77777777" w:rsidR="0088272D" w:rsidRPr="007C487A" w:rsidRDefault="0088272D" w:rsidP="0088272D">
      <w:pPr>
        <w:rPr>
          <w:szCs w:val="22"/>
        </w:rPr>
      </w:pPr>
      <w:r w:rsidRPr="007C487A">
        <w:rPr>
          <w:szCs w:val="22"/>
        </w:rPr>
        <w:t xml:space="preserve">A 13 hetes per </w:t>
      </w:r>
      <w:proofErr w:type="spellStart"/>
      <w:r w:rsidRPr="007C487A">
        <w:rPr>
          <w:szCs w:val="22"/>
        </w:rPr>
        <w:t>os</w:t>
      </w:r>
      <w:proofErr w:type="spellEnd"/>
      <w:r w:rsidRPr="007C487A">
        <w:rPr>
          <w:szCs w:val="22"/>
        </w:rPr>
        <w:t xml:space="preserve"> toxicitási vizsgálatban a patkányok az 5 és 25 mg/</w:t>
      </w:r>
      <w:proofErr w:type="spellStart"/>
      <w:r w:rsidRPr="007C487A">
        <w:rPr>
          <w:szCs w:val="22"/>
        </w:rPr>
        <w:t>ttkg-os</w:t>
      </w:r>
      <w:proofErr w:type="spellEnd"/>
      <w:r w:rsidRPr="007C487A">
        <w:rPr>
          <w:szCs w:val="22"/>
        </w:rPr>
        <w:t xml:space="preserve"> adagot jól tolerálták, a májsúly nőtt nőstényeken 125 mg/</w:t>
      </w:r>
      <w:proofErr w:type="spellStart"/>
      <w:r w:rsidRPr="007C487A">
        <w:rPr>
          <w:szCs w:val="22"/>
        </w:rPr>
        <w:t>ttkg-ot</w:t>
      </w:r>
      <w:proofErr w:type="spellEnd"/>
      <w:r w:rsidRPr="007C487A">
        <w:rPr>
          <w:szCs w:val="22"/>
        </w:rPr>
        <w:t xml:space="preserve"> adva. Kutyán kezdetben enyhe </w:t>
      </w:r>
      <w:proofErr w:type="spellStart"/>
      <w:r w:rsidRPr="007C487A">
        <w:rPr>
          <w:szCs w:val="22"/>
        </w:rPr>
        <w:t>szedációt</w:t>
      </w:r>
      <w:proofErr w:type="spellEnd"/>
      <w:r w:rsidRPr="007C487A">
        <w:rPr>
          <w:szCs w:val="22"/>
        </w:rPr>
        <w:t xml:space="preserve"> figyeltek meg 20 és 80 mg/</w:t>
      </w:r>
      <w:proofErr w:type="spellStart"/>
      <w:r w:rsidRPr="007C487A">
        <w:rPr>
          <w:szCs w:val="22"/>
        </w:rPr>
        <w:t>ttkg</w:t>
      </w:r>
      <w:proofErr w:type="spellEnd"/>
      <w:r w:rsidRPr="007C487A">
        <w:rPr>
          <w:szCs w:val="22"/>
        </w:rPr>
        <w:t xml:space="preserve"> adásakor, 5 mg/kg nem fejtett ki észlelhető hatást. </w:t>
      </w:r>
    </w:p>
    <w:p w14:paraId="7AC9886F" w14:textId="77777777" w:rsidR="0088272D" w:rsidRPr="007C487A" w:rsidRDefault="0088272D" w:rsidP="0088272D">
      <w:pPr>
        <w:rPr>
          <w:szCs w:val="22"/>
        </w:rPr>
      </w:pPr>
      <w:r w:rsidRPr="007C487A">
        <w:rPr>
          <w:szCs w:val="22"/>
        </w:rPr>
        <w:t xml:space="preserve">Hét tesztrendszer közül hatban semmiféle mutagén hatást nem észleltek. Enyhe DNS módosító hatást figyeltek meg egy </w:t>
      </w:r>
      <w:r w:rsidRPr="007C487A">
        <w:rPr>
          <w:i/>
          <w:iCs/>
          <w:szCs w:val="22"/>
        </w:rPr>
        <w:t>in vitro</w:t>
      </w:r>
      <w:r w:rsidRPr="007C487A">
        <w:rPr>
          <w:szCs w:val="22"/>
        </w:rPr>
        <w:t xml:space="preserve"> rendszerben, bár csak </w:t>
      </w:r>
      <w:proofErr w:type="spellStart"/>
      <w:r w:rsidRPr="007C487A">
        <w:rPr>
          <w:szCs w:val="22"/>
        </w:rPr>
        <w:t>citotoxikus</w:t>
      </w:r>
      <w:proofErr w:type="spellEnd"/>
      <w:r w:rsidRPr="007C487A">
        <w:rPr>
          <w:szCs w:val="22"/>
        </w:rPr>
        <w:t xml:space="preserve"> koncentráció esetén. További két vizsgálat, az egyik közülük in vivo, nem erősítette meg ezt a hatást.</w:t>
      </w:r>
    </w:p>
    <w:p w14:paraId="2084080F" w14:textId="77777777" w:rsidR="0088272D" w:rsidRPr="007C487A" w:rsidRDefault="0088272D" w:rsidP="0088272D">
      <w:pPr>
        <w:rPr>
          <w:szCs w:val="22"/>
        </w:rPr>
      </w:pPr>
      <w:r w:rsidRPr="007C487A">
        <w:rPr>
          <w:szCs w:val="22"/>
        </w:rPr>
        <w:t>A reprodukciós toxicitási vizsgálatok nem jeleztek hatást a fertilitásra és a reprodukciós viselkedésre. Maximum 150 mg/</w:t>
      </w:r>
      <w:proofErr w:type="spellStart"/>
      <w:r w:rsidRPr="007C487A">
        <w:rPr>
          <w:szCs w:val="22"/>
        </w:rPr>
        <w:t>ttkg-os</w:t>
      </w:r>
      <w:proofErr w:type="spellEnd"/>
      <w:r w:rsidRPr="007C487A">
        <w:rPr>
          <w:szCs w:val="22"/>
        </w:rPr>
        <w:t xml:space="preserve"> dózisokat vizsgálva patkányon és nyúlon a normáltól eltérő viselkedést nem figyeltek meg egyik fajon sem.</w:t>
      </w:r>
    </w:p>
    <w:p w14:paraId="0435EA10" w14:textId="77777777" w:rsidR="0088272D" w:rsidRPr="007C487A" w:rsidRDefault="0088272D" w:rsidP="0088272D">
      <w:pPr>
        <w:rPr>
          <w:szCs w:val="22"/>
        </w:rPr>
      </w:pPr>
    </w:p>
    <w:p w14:paraId="23612DA6" w14:textId="77777777" w:rsidR="0088272D" w:rsidRPr="007C487A" w:rsidRDefault="0088272D" w:rsidP="0088272D">
      <w:pPr>
        <w:rPr>
          <w:szCs w:val="22"/>
        </w:rPr>
      </w:pPr>
    </w:p>
    <w:p w14:paraId="6220F7DE" w14:textId="77777777" w:rsidR="0088272D" w:rsidRPr="007C487A" w:rsidRDefault="0088272D" w:rsidP="0088272D">
      <w:pPr>
        <w:suppressAutoHyphens w:val="0"/>
        <w:ind w:left="567" w:hanging="567"/>
        <w:rPr>
          <w:b/>
          <w:szCs w:val="22"/>
          <w:lang w:eastAsia="ja-JP"/>
        </w:rPr>
      </w:pPr>
      <w:r w:rsidRPr="007C487A">
        <w:rPr>
          <w:b/>
          <w:szCs w:val="22"/>
          <w:lang w:eastAsia="ja-JP"/>
        </w:rPr>
        <w:t>6.</w:t>
      </w:r>
      <w:r w:rsidRPr="007C487A">
        <w:rPr>
          <w:b/>
          <w:szCs w:val="22"/>
          <w:lang w:eastAsia="ja-JP"/>
        </w:rPr>
        <w:tab/>
        <w:t>GYÓGYSZERÉSZETI JELLEMZŐK</w:t>
      </w:r>
    </w:p>
    <w:p w14:paraId="25D1F331" w14:textId="77777777" w:rsidR="0088272D" w:rsidRPr="007C487A" w:rsidRDefault="0088272D" w:rsidP="0088272D">
      <w:pPr>
        <w:rPr>
          <w:szCs w:val="22"/>
        </w:rPr>
      </w:pPr>
    </w:p>
    <w:p w14:paraId="026B55BA" w14:textId="77777777" w:rsidR="0088272D" w:rsidRPr="007C487A" w:rsidRDefault="0088272D" w:rsidP="0088272D">
      <w:pPr>
        <w:ind w:left="567" w:hanging="567"/>
        <w:rPr>
          <w:b/>
          <w:szCs w:val="22"/>
        </w:rPr>
      </w:pPr>
      <w:r w:rsidRPr="007C487A">
        <w:rPr>
          <w:b/>
          <w:szCs w:val="22"/>
        </w:rPr>
        <w:t>6.1</w:t>
      </w:r>
      <w:r w:rsidRPr="007C487A">
        <w:rPr>
          <w:b/>
          <w:szCs w:val="22"/>
        </w:rPr>
        <w:tab/>
        <w:t>Segédanyagok felsorolása</w:t>
      </w:r>
    </w:p>
    <w:p w14:paraId="6AC47983" w14:textId="77777777" w:rsidR="0088272D" w:rsidRPr="007C487A" w:rsidRDefault="0088272D" w:rsidP="0088272D">
      <w:pPr>
        <w:pStyle w:val="Szvegtrzs"/>
        <w:spacing w:line="240" w:lineRule="auto"/>
        <w:rPr>
          <w:b/>
          <w:sz w:val="22"/>
          <w:szCs w:val="22"/>
          <w:lang w:val="hu-HU"/>
        </w:rPr>
      </w:pPr>
    </w:p>
    <w:p w14:paraId="0E769899" w14:textId="77777777" w:rsidR="0088272D" w:rsidRPr="007C487A" w:rsidRDefault="0088272D" w:rsidP="0088272D">
      <w:pPr>
        <w:pStyle w:val="Szvegtrzs"/>
        <w:spacing w:line="240" w:lineRule="auto"/>
        <w:rPr>
          <w:sz w:val="22"/>
          <w:szCs w:val="22"/>
          <w:lang w:val="hu-HU"/>
        </w:rPr>
      </w:pPr>
      <w:r w:rsidRPr="007C487A">
        <w:rPr>
          <w:sz w:val="22"/>
          <w:szCs w:val="22"/>
          <w:lang w:val="hu-HU"/>
        </w:rPr>
        <w:t>Dinátrium-</w:t>
      </w:r>
      <w:proofErr w:type="spellStart"/>
      <w:r w:rsidRPr="007C487A">
        <w:rPr>
          <w:sz w:val="22"/>
          <w:szCs w:val="22"/>
          <w:lang w:val="hu-HU"/>
        </w:rPr>
        <w:t>edetát</w:t>
      </w:r>
      <w:proofErr w:type="spellEnd"/>
      <w:r w:rsidRPr="007C487A">
        <w:rPr>
          <w:sz w:val="22"/>
          <w:szCs w:val="22"/>
          <w:lang w:val="hu-HU"/>
        </w:rPr>
        <w:t>, tömény ecetsav, nátrium-klorid, nátrium-hidroxid, injekcióhoz való víz.</w:t>
      </w:r>
    </w:p>
    <w:p w14:paraId="76C8CF50" w14:textId="77777777" w:rsidR="0088272D" w:rsidRPr="007C487A" w:rsidRDefault="0088272D" w:rsidP="0088272D">
      <w:pPr>
        <w:ind w:left="567" w:hanging="567"/>
        <w:rPr>
          <w:b/>
          <w:szCs w:val="22"/>
        </w:rPr>
      </w:pPr>
    </w:p>
    <w:p w14:paraId="10C636F0" w14:textId="77777777" w:rsidR="0088272D" w:rsidRPr="007C487A" w:rsidRDefault="0088272D" w:rsidP="0088272D">
      <w:pPr>
        <w:ind w:left="567" w:hanging="567"/>
        <w:rPr>
          <w:b/>
          <w:szCs w:val="22"/>
        </w:rPr>
      </w:pPr>
      <w:r w:rsidRPr="007C487A">
        <w:rPr>
          <w:b/>
          <w:szCs w:val="22"/>
        </w:rPr>
        <w:t>6.2</w:t>
      </w:r>
      <w:r w:rsidRPr="007C487A">
        <w:rPr>
          <w:b/>
          <w:szCs w:val="22"/>
        </w:rPr>
        <w:tab/>
        <w:t>Inkompatibilitások</w:t>
      </w:r>
    </w:p>
    <w:p w14:paraId="1F3646DE" w14:textId="77777777" w:rsidR="0088272D" w:rsidRPr="007C487A" w:rsidRDefault="0088272D" w:rsidP="0088272D">
      <w:pPr>
        <w:rPr>
          <w:szCs w:val="22"/>
        </w:rPr>
      </w:pPr>
    </w:p>
    <w:p w14:paraId="0049768A" w14:textId="77777777" w:rsidR="0088272D" w:rsidRPr="007C487A" w:rsidRDefault="0088272D" w:rsidP="0088272D">
      <w:pPr>
        <w:pStyle w:val="Szvegtrzs"/>
        <w:spacing w:line="240" w:lineRule="auto"/>
        <w:rPr>
          <w:sz w:val="22"/>
          <w:szCs w:val="22"/>
          <w:lang w:val="hu-HU"/>
        </w:rPr>
      </w:pPr>
      <w:r w:rsidRPr="007C487A">
        <w:rPr>
          <w:sz w:val="22"/>
          <w:szCs w:val="22"/>
          <w:lang w:val="hu-HU"/>
        </w:rPr>
        <w:t>Nem értelmezhető.</w:t>
      </w:r>
    </w:p>
    <w:p w14:paraId="1D552EFA" w14:textId="77777777" w:rsidR="0088272D" w:rsidRPr="007C487A" w:rsidRDefault="0088272D" w:rsidP="0088272D">
      <w:pPr>
        <w:ind w:left="567" w:hanging="567"/>
        <w:rPr>
          <w:b/>
          <w:szCs w:val="22"/>
        </w:rPr>
      </w:pPr>
    </w:p>
    <w:p w14:paraId="67F7F20E" w14:textId="77777777" w:rsidR="0088272D" w:rsidRPr="007C487A" w:rsidRDefault="0088272D" w:rsidP="0088272D">
      <w:pPr>
        <w:ind w:left="567" w:hanging="567"/>
        <w:rPr>
          <w:b/>
          <w:szCs w:val="22"/>
        </w:rPr>
      </w:pPr>
      <w:r w:rsidRPr="007C487A">
        <w:rPr>
          <w:b/>
          <w:szCs w:val="22"/>
        </w:rPr>
        <w:t>6.3</w:t>
      </w:r>
      <w:r w:rsidRPr="007C487A">
        <w:rPr>
          <w:b/>
          <w:szCs w:val="22"/>
        </w:rPr>
        <w:tab/>
        <w:t>Felhasználhatósági időtartam</w:t>
      </w:r>
    </w:p>
    <w:p w14:paraId="2E0DE505" w14:textId="77777777" w:rsidR="0088272D" w:rsidRPr="007C487A" w:rsidRDefault="0088272D" w:rsidP="0088272D">
      <w:pPr>
        <w:rPr>
          <w:szCs w:val="22"/>
        </w:rPr>
      </w:pPr>
    </w:p>
    <w:p w14:paraId="6617B3CD" w14:textId="77777777" w:rsidR="0088272D" w:rsidRPr="007C487A" w:rsidRDefault="0088272D" w:rsidP="0088272D">
      <w:pPr>
        <w:rPr>
          <w:szCs w:val="22"/>
        </w:rPr>
      </w:pPr>
      <w:r w:rsidRPr="007C487A">
        <w:rPr>
          <w:szCs w:val="22"/>
        </w:rPr>
        <w:t>5 év</w:t>
      </w:r>
    </w:p>
    <w:p w14:paraId="3659A826" w14:textId="77777777" w:rsidR="0088272D" w:rsidRPr="007C487A" w:rsidRDefault="0088272D" w:rsidP="0088272D">
      <w:pPr>
        <w:pStyle w:val="Szvegtrzs"/>
        <w:spacing w:line="240" w:lineRule="auto"/>
        <w:rPr>
          <w:sz w:val="22"/>
          <w:szCs w:val="22"/>
          <w:lang w:val="hu-HU"/>
        </w:rPr>
      </w:pPr>
      <w:r w:rsidRPr="007C487A">
        <w:rPr>
          <w:sz w:val="22"/>
          <w:szCs w:val="22"/>
          <w:lang w:val="hu-HU"/>
        </w:rPr>
        <w:t>A csomagoláson feltüntetett lejárati időn túl nem használható fel.</w:t>
      </w:r>
    </w:p>
    <w:p w14:paraId="28948A21" w14:textId="77777777" w:rsidR="0088272D" w:rsidRPr="007C487A" w:rsidRDefault="0088272D" w:rsidP="0088272D">
      <w:pPr>
        <w:pStyle w:val="Szvegtrzs"/>
        <w:spacing w:line="240" w:lineRule="auto"/>
        <w:rPr>
          <w:sz w:val="22"/>
          <w:szCs w:val="22"/>
          <w:lang w:val="hu-HU"/>
        </w:rPr>
      </w:pPr>
    </w:p>
    <w:p w14:paraId="6583E309" w14:textId="77777777" w:rsidR="0088272D" w:rsidRPr="007C487A" w:rsidRDefault="0088272D" w:rsidP="0088272D">
      <w:pPr>
        <w:ind w:left="567" w:hanging="567"/>
        <w:rPr>
          <w:b/>
          <w:szCs w:val="22"/>
        </w:rPr>
      </w:pPr>
      <w:r w:rsidRPr="007C487A">
        <w:rPr>
          <w:b/>
          <w:szCs w:val="22"/>
        </w:rPr>
        <w:t>6.4</w:t>
      </w:r>
      <w:r w:rsidRPr="007C487A">
        <w:rPr>
          <w:b/>
          <w:szCs w:val="22"/>
        </w:rPr>
        <w:tab/>
        <w:t>Különleges tárolási előírások</w:t>
      </w:r>
    </w:p>
    <w:p w14:paraId="0FA9C250" w14:textId="77777777" w:rsidR="0088272D" w:rsidRPr="007C487A" w:rsidRDefault="0088272D" w:rsidP="0088272D">
      <w:pPr>
        <w:rPr>
          <w:b/>
          <w:szCs w:val="22"/>
        </w:rPr>
      </w:pPr>
    </w:p>
    <w:p w14:paraId="7E903C11" w14:textId="77777777" w:rsidR="0088272D" w:rsidRPr="007C487A" w:rsidRDefault="0088272D" w:rsidP="0088272D">
      <w:pPr>
        <w:rPr>
          <w:szCs w:val="22"/>
        </w:rPr>
      </w:pPr>
      <w:r w:rsidRPr="007C487A">
        <w:rPr>
          <w:szCs w:val="22"/>
        </w:rPr>
        <w:t>Ez a gyógyszer nem igényel különleges tárolást.</w:t>
      </w:r>
    </w:p>
    <w:p w14:paraId="7E5D638A" w14:textId="77777777" w:rsidR="0088272D" w:rsidRPr="007C487A" w:rsidRDefault="0088272D" w:rsidP="0088272D">
      <w:pPr>
        <w:rPr>
          <w:szCs w:val="22"/>
        </w:rPr>
      </w:pPr>
    </w:p>
    <w:p w14:paraId="5FC09FA4" w14:textId="77777777" w:rsidR="0088272D" w:rsidRPr="007C487A" w:rsidRDefault="0088272D" w:rsidP="0088272D">
      <w:pPr>
        <w:ind w:left="567" w:hanging="567"/>
        <w:rPr>
          <w:b/>
          <w:szCs w:val="22"/>
        </w:rPr>
      </w:pPr>
      <w:r w:rsidRPr="007C487A">
        <w:rPr>
          <w:b/>
          <w:szCs w:val="22"/>
        </w:rPr>
        <w:lastRenderedPageBreak/>
        <w:t>6.5</w:t>
      </w:r>
      <w:r w:rsidRPr="007C487A">
        <w:rPr>
          <w:b/>
          <w:szCs w:val="22"/>
        </w:rPr>
        <w:tab/>
        <w:t>Csomagolás típusa és kiszerelése</w:t>
      </w:r>
    </w:p>
    <w:p w14:paraId="7BB92FD0" w14:textId="77777777" w:rsidR="0088272D" w:rsidRPr="007C487A" w:rsidRDefault="0088272D" w:rsidP="0088272D">
      <w:pPr>
        <w:pStyle w:val="Szvegtrzs"/>
        <w:spacing w:line="240" w:lineRule="auto"/>
        <w:rPr>
          <w:b/>
          <w:sz w:val="22"/>
          <w:szCs w:val="22"/>
          <w:lang w:val="hu-HU"/>
        </w:rPr>
      </w:pPr>
    </w:p>
    <w:p w14:paraId="0A6C4B95" w14:textId="77777777" w:rsidR="0088272D" w:rsidRPr="007C487A" w:rsidRDefault="0088272D" w:rsidP="0088272D">
      <w:pPr>
        <w:pStyle w:val="Szvegtrzs"/>
        <w:spacing w:line="240" w:lineRule="auto"/>
        <w:rPr>
          <w:sz w:val="22"/>
          <w:szCs w:val="22"/>
          <w:lang w:val="hu-HU"/>
        </w:rPr>
      </w:pPr>
      <w:r w:rsidRPr="007C487A">
        <w:rPr>
          <w:sz w:val="22"/>
          <w:szCs w:val="22"/>
          <w:lang w:val="hu-HU"/>
        </w:rPr>
        <w:t>5 ml oldat zöld és lila kódgyűrűvel és kék törőponttal ellátott színtelen üvegampullába töltve. 5 ampulla papírtálcán, dobozban.</w:t>
      </w:r>
    </w:p>
    <w:p w14:paraId="779C40E8" w14:textId="77777777" w:rsidR="0088272D" w:rsidRPr="007C487A" w:rsidRDefault="0088272D" w:rsidP="0088272D">
      <w:pPr>
        <w:ind w:left="567" w:hanging="567"/>
        <w:rPr>
          <w:b/>
          <w:szCs w:val="22"/>
        </w:rPr>
      </w:pPr>
    </w:p>
    <w:p w14:paraId="407303CF" w14:textId="77777777" w:rsidR="0088272D" w:rsidRPr="007C487A" w:rsidRDefault="0088272D" w:rsidP="0088272D">
      <w:pPr>
        <w:ind w:left="567" w:hanging="567"/>
        <w:rPr>
          <w:b/>
          <w:szCs w:val="22"/>
        </w:rPr>
      </w:pPr>
      <w:r w:rsidRPr="007C487A">
        <w:rPr>
          <w:b/>
          <w:szCs w:val="22"/>
        </w:rPr>
        <w:t>6.6</w:t>
      </w:r>
      <w:r w:rsidRPr="007C487A">
        <w:rPr>
          <w:b/>
          <w:szCs w:val="22"/>
        </w:rPr>
        <w:tab/>
      </w:r>
      <w:r w:rsidRPr="0034117B">
        <w:rPr>
          <w:b/>
          <w:szCs w:val="22"/>
        </w:rPr>
        <w:t>A megsemmisítésre vonatkozó különleges óvintézkedések és egyéb, a készítmény kezelésével kapcsolatos információk</w:t>
      </w:r>
    </w:p>
    <w:p w14:paraId="1765FC09" w14:textId="77777777" w:rsidR="0088272D" w:rsidRPr="007C487A" w:rsidRDefault="0088272D" w:rsidP="0088272D">
      <w:pPr>
        <w:pStyle w:val="Szvegtrzs"/>
        <w:spacing w:line="240" w:lineRule="auto"/>
        <w:rPr>
          <w:sz w:val="22"/>
          <w:szCs w:val="22"/>
          <w:lang w:val="hu-HU"/>
        </w:rPr>
      </w:pPr>
    </w:p>
    <w:p w14:paraId="34FF33FB" w14:textId="4C2DA1CE" w:rsidR="0088272D" w:rsidRPr="007C487A" w:rsidRDefault="0088272D" w:rsidP="001D443C">
      <w:pPr>
        <w:pStyle w:val="Szvegtrzs"/>
        <w:spacing w:line="240" w:lineRule="auto"/>
      </w:pPr>
      <w:r w:rsidRPr="007C487A">
        <w:rPr>
          <w:sz w:val="22"/>
          <w:szCs w:val="22"/>
          <w:lang w:val="hu-HU"/>
        </w:rPr>
        <w:t>Infúzióban adva 5%-</w:t>
      </w:r>
      <w:proofErr w:type="spellStart"/>
      <w:r w:rsidRPr="007C487A">
        <w:rPr>
          <w:sz w:val="22"/>
          <w:szCs w:val="22"/>
          <w:lang w:val="hu-HU"/>
        </w:rPr>
        <w:t>os</w:t>
      </w:r>
      <w:proofErr w:type="spellEnd"/>
      <w:r w:rsidRPr="007C487A">
        <w:rPr>
          <w:sz w:val="22"/>
          <w:szCs w:val="22"/>
          <w:lang w:val="hu-HU"/>
        </w:rPr>
        <w:t xml:space="preserve"> glükózzal, </w:t>
      </w:r>
      <w:proofErr w:type="spellStart"/>
      <w:r w:rsidRPr="007C487A">
        <w:rPr>
          <w:sz w:val="22"/>
          <w:szCs w:val="22"/>
          <w:lang w:val="hu-HU"/>
        </w:rPr>
        <w:t>Ringer</w:t>
      </w:r>
      <w:proofErr w:type="spellEnd"/>
      <w:r w:rsidRPr="007C487A">
        <w:rPr>
          <w:sz w:val="22"/>
          <w:szCs w:val="22"/>
          <w:lang w:val="hu-HU"/>
        </w:rPr>
        <w:t>-laktát oldattal vagy 0,9%-</w:t>
      </w:r>
      <w:proofErr w:type="spellStart"/>
      <w:r w:rsidRPr="007C487A">
        <w:rPr>
          <w:sz w:val="22"/>
          <w:szCs w:val="22"/>
          <w:lang w:val="hu-HU"/>
        </w:rPr>
        <w:t>os</w:t>
      </w:r>
      <w:proofErr w:type="spellEnd"/>
      <w:r w:rsidRPr="007C487A">
        <w:rPr>
          <w:sz w:val="22"/>
          <w:szCs w:val="22"/>
          <w:lang w:val="hu-HU"/>
        </w:rPr>
        <w:t xml:space="preserve"> izotóniás sóoldattal hígítható. Ha az </w:t>
      </w:r>
      <w:proofErr w:type="spellStart"/>
      <w:r w:rsidRPr="007C487A">
        <w:rPr>
          <w:sz w:val="22"/>
          <w:szCs w:val="22"/>
          <w:lang w:val="hu-HU"/>
        </w:rPr>
        <w:t>Anexate-ot</w:t>
      </w:r>
      <w:proofErr w:type="spellEnd"/>
      <w:r w:rsidRPr="007C487A">
        <w:rPr>
          <w:sz w:val="22"/>
          <w:szCs w:val="22"/>
          <w:lang w:val="hu-HU"/>
        </w:rPr>
        <w:t xml:space="preserve"> fecskendőbe szívják, vagy keverik bármelyik előbbi oldattal, 24 óra múlva már nem használható fel. Az adagot titrálni kell a kívánt hatás elérése céljából. Az injekciós oldatot az ampulla felnyitása után azonnal fel kell használni, mert nem tartalmaz konzerválószert.</w:t>
      </w:r>
    </w:p>
    <w:p w14:paraId="3D79EA04" w14:textId="77777777" w:rsidR="0088272D" w:rsidRPr="007C487A" w:rsidRDefault="0088272D" w:rsidP="0088272D">
      <w:pPr>
        <w:rPr>
          <w:szCs w:val="22"/>
        </w:rPr>
      </w:pPr>
    </w:p>
    <w:p w14:paraId="09138063" w14:textId="77777777" w:rsidR="0088272D" w:rsidRPr="007C487A" w:rsidRDefault="0088272D" w:rsidP="0088272D">
      <w:pPr>
        <w:rPr>
          <w:szCs w:val="22"/>
        </w:rPr>
      </w:pPr>
      <w:r w:rsidRPr="007C487A">
        <w:rPr>
          <w:szCs w:val="22"/>
        </w:rPr>
        <w:t>Az elkészített infúziós oldatot 24 óra hosszat lehet szobahőmérsékleten tárolni, de az általános elveknek megfelelően az elkészítés után amint lehet</w:t>
      </w:r>
      <w:r w:rsidR="00ED4025" w:rsidRPr="007C487A">
        <w:rPr>
          <w:szCs w:val="22"/>
        </w:rPr>
        <w:t>,</w:t>
      </w:r>
      <w:r w:rsidRPr="007C487A">
        <w:rPr>
          <w:szCs w:val="22"/>
        </w:rPr>
        <w:t xml:space="preserve"> fel kell használni.</w:t>
      </w:r>
    </w:p>
    <w:p w14:paraId="4C30FCC7" w14:textId="06DC92AE" w:rsidR="0088272D" w:rsidRDefault="0088272D" w:rsidP="0088272D">
      <w:pPr>
        <w:rPr>
          <w:szCs w:val="22"/>
        </w:rPr>
      </w:pPr>
      <w:r w:rsidRPr="007C487A">
        <w:rPr>
          <w:szCs w:val="22"/>
        </w:rPr>
        <w:t>A már kinyitott ampulla fel nem használt tartalmát ki kell önteni.</w:t>
      </w:r>
    </w:p>
    <w:p w14:paraId="56F3DFD2" w14:textId="77777777" w:rsidR="00055939" w:rsidRDefault="00055939" w:rsidP="0088272D">
      <w:pPr>
        <w:rPr>
          <w:szCs w:val="22"/>
        </w:rPr>
      </w:pPr>
    </w:p>
    <w:p w14:paraId="3BAB5CE2" w14:textId="615D9000" w:rsidR="00055939" w:rsidRPr="007C487A" w:rsidRDefault="00055939" w:rsidP="0088272D">
      <w:pPr>
        <w:rPr>
          <w:szCs w:val="22"/>
        </w:rPr>
      </w:pPr>
      <w:r w:rsidRPr="005517CD">
        <w:rPr>
          <w:szCs w:val="22"/>
        </w:rPr>
        <w:t>Bármilyen fel nem használt gyógyszer, illetve hulladékanyag megsemmisítését a gyógyszerekre vonatkozó előír</w:t>
      </w:r>
      <w:r>
        <w:rPr>
          <w:szCs w:val="22"/>
        </w:rPr>
        <w:t>ások szerint kell végrehajtani.</w:t>
      </w:r>
    </w:p>
    <w:p w14:paraId="0E5E3B95" w14:textId="77777777" w:rsidR="0088272D" w:rsidRPr="007C487A" w:rsidRDefault="0088272D" w:rsidP="0088272D">
      <w:pPr>
        <w:rPr>
          <w:b/>
          <w:szCs w:val="22"/>
        </w:rPr>
      </w:pPr>
    </w:p>
    <w:p w14:paraId="50207C13" w14:textId="77777777" w:rsidR="0088272D" w:rsidRPr="007C487A" w:rsidRDefault="0088272D" w:rsidP="0088272D">
      <w:pPr>
        <w:rPr>
          <w:szCs w:val="22"/>
        </w:rPr>
      </w:pPr>
      <w:r w:rsidRPr="007C487A">
        <w:rPr>
          <w:b/>
          <w:szCs w:val="22"/>
        </w:rPr>
        <w:t>Megjegyzés:</w:t>
      </w:r>
      <w:r w:rsidRPr="007C487A">
        <w:rPr>
          <w:szCs w:val="22"/>
        </w:rPr>
        <w:t xml:space="preserve"> </w:t>
      </w:r>
      <w:r w:rsidRPr="007C487A">
        <w:rPr>
          <w:szCs w:val="22"/>
        </w:rPr>
        <w:sym w:font="Wingdings" w:char="F058"/>
      </w:r>
      <w:r w:rsidRPr="007C487A">
        <w:rPr>
          <w:szCs w:val="22"/>
        </w:rPr>
        <w:t xml:space="preserve"> (egy keresztes)</w:t>
      </w:r>
    </w:p>
    <w:p w14:paraId="0944C08B" w14:textId="77777777" w:rsidR="0088272D" w:rsidRPr="007C487A" w:rsidRDefault="0088272D" w:rsidP="0088272D">
      <w:pPr>
        <w:rPr>
          <w:b/>
          <w:bCs/>
          <w:szCs w:val="22"/>
        </w:rPr>
      </w:pPr>
      <w:r w:rsidRPr="007C487A">
        <w:rPr>
          <w:szCs w:val="22"/>
        </w:rPr>
        <w:t xml:space="preserve">Osztályozás: </w:t>
      </w:r>
      <w:r w:rsidRPr="007C487A">
        <w:rPr>
          <w:b/>
          <w:bCs/>
          <w:szCs w:val="22"/>
        </w:rPr>
        <w:t>II./3 csoport</w:t>
      </w:r>
    </w:p>
    <w:p w14:paraId="2D9B4D98" w14:textId="77777777" w:rsidR="0088272D" w:rsidRPr="007C487A" w:rsidRDefault="0088272D" w:rsidP="0088272D">
      <w:pPr>
        <w:rPr>
          <w:bCs/>
          <w:szCs w:val="22"/>
        </w:rPr>
      </w:pPr>
      <w:r w:rsidRPr="007C487A">
        <w:rPr>
          <w:bCs/>
          <w:szCs w:val="22"/>
        </w:rPr>
        <w:t>Korlátozott érvényű orvosi rendelvényhez kötött, az egészségügyről szóló 1997 évi CLIV. Törvény 3. §-</w:t>
      </w:r>
      <w:proofErr w:type="spellStart"/>
      <w:r w:rsidRPr="007C487A">
        <w:rPr>
          <w:bCs/>
          <w:szCs w:val="22"/>
        </w:rPr>
        <w:t>ának</w:t>
      </w:r>
      <w:proofErr w:type="spellEnd"/>
      <w:r w:rsidRPr="007C487A">
        <w:rPr>
          <w:bCs/>
          <w:szCs w:val="22"/>
        </w:rPr>
        <w:t xml:space="preserve"> </w:t>
      </w:r>
      <w:proofErr w:type="spellStart"/>
      <w:r w:rsidRPr="007C487A">
        <w:rPr>
          <w:bCs/>
          <w:szCs w:val="22"/>
        </w:rPr>
        <w:t>ga</w:t>
      </w:r>
      <w:proofErr w:type="spellEnd"/>
      <w:r w:rsidRPr="007C487A">
        <w:rPr>
          <w:bCs/>
          <w:szCs w:val="22"/>
        </w:rPr>
        <w:t>) pontja szerinti rendelőintézeti járóbeteg-szakellátást vagy fekvőbeteg-szakellátást nyújtó szolgáltatók által biztosított körülmények között alkalmazható gyógyszer (I).</w:t>
      </w:r>
    </w:p>
    <w:p w14:paraId="0006AAAD" w14:textId="77777777" w:rsidR="0088272D" w:rsidRPr="007C487A" w:rsidRDefault="0088272D" w:rsidP="0088272D">
      <w:pPr>
        <w:rPr>
          <w:szCs w:val="22"/>
        </w:rPr>
      </w:pPr>
    </w:p>
    <w:p w14:paraId="1ACE58A9" w14:textId="77777777" w:rsidR="0088272D" w:rsidRPr="007C487A" w:rsidRDefault="0088272D" w:rsidP="0088272D">
      <w:pPr>
        <w:rPr>
          <w:szCs w:val="22"/>
        </w:rPr>
      </w:pPr>
    </w:p>
    <w:p w14:paraId="792C0C81" w14:textId="77777777" w:rsidR="0088272D" w:rsidRPr="007C487A" w:rsidRDefault="0088272D" w:rsidP="0088272D">
      <w:pPr>
        <w:ind w:left="567" w:hanging="567"/>
        <w:rPr>
          <w:b/>
          <w:szCs w:val="22"/>
        </w:rPr>
      </w:pPr>
      <w:r w:rsidRPr="007C487A">
        <w:rPr>
          <w:b/>
          <w:szCs w:val="22"/>
        </w:rPr>
        <w:t>7.</w:t>
      </w:r>
      <w:r w:rsidRPr="007C487A">
        <w:rPr>
          <w:b/>
          <w:szCs w:val="22"/>
        </w:rPr>
        <w:tab/>
        <w:t>A FORGALOMBA HOZATALI ENGEDÉLY JOGOSULTJA</w:t>
      </w:r>
    </w:p>
    <w:p w14:paraId="29E8B8C9" w14:textId="77777777" w:rsidR="0088272D" w:rsidRPr="007C487A" w:rsidRDefault="0088272D" w:rsidP="0088272D">
      <w:pPr>
        <w:ind w:left="567" w:hanging="567"/>
        <w:rPr>
          <w:b/>
          <w:szCs w:val="22"/>
        </w:rPr>
      </w:pPr>
    </w:p>
    <w:p w14:paraId="6005BDAD" w14:textId="77777777" w:rsidR="0088272D" w:rsidRPr="009E43AC" w:rsidRDefault="0088272D" w:rsidP="00487CEC">
      <w:pPr>
        <w:rPr>
          <w:szCs w:val="22"/>
        </w:rPr>
      </w:pPr>
      <w:r w:rsidRPr="009E43AC">
        <w:rPr>
          <w:szCs w:val="22"/>
        </w:rPr>
        <w:t xml:space="preserve">CHEPLAPHARM </w:t>
      </w:r>
      <w:proofErr w:type="spellStart"/>
      <w:r w:rsidRPr="009E43AC">
        <w:rPr>
          <w:szCs w:val="22"/>
        </w:rPr>
        <w:t>Arzneimittel</w:t>
      </w:r>
      <w:proofErr w:type="spellEnd"/>
      <w:r w:rsidRPr="009E43AC">
        <w:rPr>
          <w:szCs w:val="22"/>
        </w:rPr>
        <w:t xml:space="preserve"> GmbH</w:t>
      </w:r>
    </w:p>
    <w:p w14:paraId="574A7AB3" w14:textId="77777777" w:rsidR="0088272D" w:rsidRPr="009E43AC" w:rsidRDefault="009E43AC" w:rsidP="00487CEC">
      <w:pPr>
        <w:rPr>
          <w:szCs w:val="22"/>
        </w:rPr>
      </w:pPr>
      <w:proofErr w:type="spellStart"/>
      <w:r>
        <w:rPr>
          <w:szCs w:val="22"/>
        </w:rPr>
        <w:t>Ziegelhof</w:t>
      </w:r>
      <w:proofErr w:type="spellEnd"/>
      <w:r>
        <w:rPr>
          <w:szCs w:val="22"/>
        </w:rPr>
        <w:t xml:space="preserve"> 24</w:t>
      </w:r>
    </w:p>
    <w:p w14:paraId="5F521199" w14:textId="77777777" w:rsidR="0088272D" w:rsidRPr="009E43AC" w:rsidRDefault="009E43AC" w:rsidP="00487CEC">
      <w:pPr>
        <w:rPr>
          <w:szCs w:val="22"/>
        </w:rPr>
      </w:pPr>
      <w:r>
        <w:rPr>
          <w:szCs w:val="22"/>
        </w:rPr>
        <w:t xml:space="preserve">17489 </w:t>
      </w:r>
      <w:proofErr w:type="spellStart"/>
      <w:r>
        <w:rPr>
          <w:szCs w:val="22"/>
        </w:rPr>
        <w:t>Greifswald</w:t>
      </w:r>
      <w:proofErr w:type="spellEnd"/>
    </w:p>
    <w:p w14:paraId="6A79FBFD" w14:textId="77777777" w:rsidR="0088272D" w:rsidRPr="007C487A" w:rsidRDefault="0088272D" w:rsidP="0088272D">
      <w:pPr>
        <w:ind w:left="567" w:hanging="567"/>
        <w:rPr>
          <w:b/>
          <w:szCs w:val="22"/>
        </w:rPr>
      </w:pPr>
      <w:r w:rsidRPr="009E43AC">
        <w:rPr>
          <w:rStyle w:val="shorttext"/>
          <w:szCs w:val="22"/>
        </w:rPr>
        <w:t>Németország</w:t>
      </w:r>
    </w:p>
    <w:p w14:paraId="64C4F7D8" w14:textId="77777777" w:rsidR="0088272D" w:rsidRPr="007C487A" w:rsidRDefault="0088272D" w:rsidP="0088272D">
      <w:pPr>
        <w:ind w:left="567" w:hanging="567"/>
        <w:rPr>
          <w:b/>
          <w:szCs w:val="22"/>
        </w:rPr>
      </w:pPr>
    </w:p>
    <w:p w14:paraId="7364F8A0" w14:textId="77777777" w:rsidR="0088272D" w:rsidRPr="007C487A" w:rsidRDefault="0088272D" w:rsidP="0088272D">
      <w:pPr>
        <w:ind w:left="567" w:hanging="567"/>
        <w:rPr>
          <w:b/>
          <w:szCs w:val="22"/>
        </w:rPr>
      </w:pPr>
      <w:r w:rsidRPr="007C487A">
        <w:rPr>
          <w:b/>
          <w:szCs w:val="22"/>
        </w:rPr>
        <w:t>8.</w:t>
      </w:r>
      <w:r w:rsidRPr="007C487A">
        <w:rPr>
          <w:b/>
          <w:szCs w:val="22"/>
        </w:rPr>
        <w:tab/>
        <w:t>A FORGALOMBA HOZATALI ENGEDÉLY SZÁMA</w:t>
      </w:r>
    </w:p>
    <w:p w14:paraId="03A30631" w14:textId="77777777" w:rsidR="0088272D" w:rsidRPr="007C487A" w:rsidRDefault="0088272D" w:rsidP="0088272D">
      <w:pPr>
        <w:ind w:left="567" w:hanging="567"/>
        <w:rPr>
          <w:b/>
          <w:szCs w:val="22"/>
        </w:rPr>
      </w:pPr>
    </w:p>
    <w:p w14:paraId="20314737" w14:textId="77777777" w:rsidR="0088272D" w:rsidRPr="007C487A" w:rsidRDefault="0088272D" w:rsidP="0088272D">
      <w:pPr>
        <w:ind w:left="567" w:hanging="567"/>
        <w:rPr>
          <w:szCs w:val="22"/>
        </w:rPr>
      </w:pPr>
      <w:r w:rsidRPr="007C487A">
        <w:rPr>
          <w:szCs w:val="22"/>
        </w:rPr>
        <w:t>OGYI-T-1465/01</w:t>
      </w:r>
    </w:p>
    <w:p w14:paraId="1D85D26A" w14:textId="77777777" w:rsidR="0088272D" w:rsidRPr="007C487A" w:rsidRDefault="0088272D" w:rsidP="0088272D">
      <w:pPr>
        <w:rPr>
          <w:b/>
          <w:szCs w:val="22"/>
        </w:rPr>
      </w:pPr>
    </w:p>
    <w:p w14:paraId="31E5E049" w14:textId="77777777" w:rsidR="0088272D" w:rsidRPr="007C487A" w:rsidRDefault="0088272D" w:rsidP="0088272D">
      <w:pPr>
        <w:ind w:left="567" w:hanging="567"/>
        <w:rPr>
          <w:b/>
          <w:szCs w:val="22"/>
        </w:rPr>
      </w:pPr>
    </w:p>
    <w:p w14:paraId="5ADA17B3" w14:textId="77777777" w:rsidR="0088272D" w:rsidRPr="007C487A" w:rsidRDefault="0088272D" w:rsidP="0088272D">
      <w:pPr>
        <w:ind w:left="567" w:hanging="567"/>
        <w:rPr>
          <w:b/>
          <w:szCs w:val="22"/>
        </w:rPr>
      </w:pPr>
      <w:r w:rsidRPr="007C487A">
        <w:rPr>
          <w:b/>
          <w:szCs w:val="22"/>
        </w:rPr>
        <w:t>9.</w:t>
      </w:r>
      <w:r w:rsidRPr="007C487A">
        <w:rPr>
          <w:b/>
          <w:szCs w:val="22"/>
        </w:rPr>
        <w:tab/>
        <w:t>A FORGALOMBA HOZATALI ENGEDÉLY ELSŐ KIADÁSÁNAK/ MEGÚJÍTÁSÁNAK DÁTUMA</w:t>
      </w:r>
    </w:p>
    <w:p w14:paraId="7BCC1D4B" w14:textId="77777777" w:rsidR="0088272D" w:rsidRPr="007C487A" w:rsidRDefault="0088272D" w:rsidP="0088272D">
      <w:pPr>
        <w:ind w:left="567" w:hanging="567"/>
        <w:rPr>
          <w:b/>
          <w:szCs w:val="22"/>
        </w:rPr>
      </w:pPr>
    </w:p>
    <w:p w14:paraId="608CBC55" w14:textId="77777777" w:rsidR="0088272D" w:rsidRPr="007C487A" w:rsidRDefault="0088272D" w:rsidP="0088272D">
      <w:pPr>
        <w:rPr>
          <w:szCs w:val="22"/>
        </w:rPr>
      </w:pPr>
      <w:r w:rsidRPr="007C487A">
        <w:rPr>
          <w:szCs w:val="22"/>
          <w:lang w:eastAsia="en-US"/>
        </w:rPr>
        <w:t>A forgalomba hozatali engedély első kiadásának dátuma:</w:t>
      </w:r>
      <w:r w:rsidRPr="007C487A">
        <w:rPr>
          <w:szCs w:val="22"/>
        </w:rPr>
        <w:t xml:space="preserve"> 1990. január 1. </w:t>
      </w:r>
    </w:p>
    <w:p w14:paraId="1221ECE9" w14:textId="77777777" w:rsidR="0088272D" w:rsidRPr="007C487A" w:rsidRDefault="0088272D" w:rsidP="0088272D">
      <w:pPr>
        <w:rPr>
          <w:szCs w:val="22"/>
        </w:rPr>
      </w:pPr>
    </w:p>
    <w:p w14:paraId="3A8A6CEE" w14:textId="77777777" w:rsidR="0088272D" w:rsidRPr="007C487A" w:rsidRDefault="0088272D" w:rsidP="0088272D">
      <w:pPr>
        <w:rPr>
          <w:szCs w:val="22"/>
        </w:rPr>
      </w:pPr>
      <w:r w:rsidRPr="007C487A">
        <w:rPr>
          <w:szCs w:val="22"/>
          <w:lang w:eastAsia="en-US"/>
        </w:rPr>
        <w:t>A forgalomba hozatali engedély legutóbbi megújításának dátuma</w:t>
      </w:r>
      <w:r w:rsidRPr="007C487A">
        <w:rPr>
          <w:szCs w:val="22"/>
        </w:rPr>
        <w:t>: 2011. január 17.</w:t>
      </w:r>
    </w:p>
    <w:p w14:paraId="6B81A878" w14:textId="77777777" w:rsidR="0088272D" w:rsidRPr="007C487A" w:rsidRDefault="0088272D" w:rsidP="0088272D">
      <w:pPr>
        <w:rPr>
          <w:szCs w:val="22"/>
        </w:rPr>
      </w:pPr>
    </w:p>
    <w:p w14:paraId="682904C5" w14:textId="77777777" w:rsidR="0088272D" w:rsidRPr="007C487A" w:rsidRDefault="0088272D" w:rsidP="0088272D">
      <w:pPr>
        <w:ind w:left="567" w:hanging="567"/>
        <w:rPr>
          <w:b/>
          <w:szCs w:val="22"/>
        </w:rPr>
      </w:pPr>
    </w:p>
    <w:p w14:paraId="08A8D91B" w14:textId="77777777" w:rsidR="0088272D" w:rsidRPr="007C487A" w:rsidRDefault="0088272D" w:rsidP="0088272D">
      <w:pPr>
        <w:ind w:left="567" w:hanging="567"/>
        <w:rPr>
          <w:b/>
          <w:szCs w:val="22"/>
        </w:rPr>
      </w:pPr>
      <w:r w:rsidRPr="007C487A">
        <w:rPr>
          <w:b/>
          <w:szCs w:val="22"/>
        </w:rPr>
        <w:t>10.</w:t>
      </w:r>
      <w:r w:rsidRPr="007C487A">
        <w:rPr>
          <w:b/>
          <w:szCs w:val="22"/>
        </w:rPr>
        <w:tab/>
        <w:t>A SZÖVEG ELLENŐRZÉSÉNEK DÁTUMA</w:t>
      </w:r>
    </w:p>
    <w:p w14:paraId="509D84A0" w14:textId="77777777" w:rsidR="0088272D" w:rsidRPr="007C487A" w:rsidRDefault="0088272D" w:rsidP="0088272D">
      <w:pPr>
        <w:ind w:left="567" w:hanging="567"/>
        <w:rPr>
          <w:b/>
          <w:szCs w:val="22"/>
        </w:rPr>
      </w:pPr>
    </w:p>
    <w:p w14:paraId="45F5C138" w14:textId="42548ED3" w:rsidR="006F7C86" w:rsidRPr="009E43AC" w:rsidRDefault="007C3F86">
      <w:pPr>
        <w:rPr>
          <w:szCs w:val="22"/>
        </w:rPr>
      </w:pPr>
      <w:r>
        <w:rPr>
          <w:rStyle w:val="tlid-translation"/>
        </w:rPr>
        <w:t>2020.</w:t>
      </w:r>
      <w:r w:rsidR="0034117B">
        <w:rPr>
          <w:rStyle w:val="tlid-translation"/>
        </w:rPr>
        <w:t xml:space="preserve"> október 1.</w:t>
      </w:r>
      <w:r w:rsidR="0034117B" w:rsidDel="0034117B">
        <w:rPr>
          <w:rStyle w:val="tlid-translation"/>
        </w:rPr>
        <w:t xml:space="preserve"> </w:t>
      </w:r>
    </w:p>
    <w:sectPr w:rsidR="006F7C86" w:rsidRPr="009E43AC" w:rsidSect="00F24A44">
      <w:headerReference w:type="default" r:id="rId7"/>
      <w:footerReference w:type="even" r:id="rId8"/>
      <w:footerReference w:type="default" r:id="rId9"/>
      <w:footerReference w:type="first" r:id="rId10"/>
      <w:footnotePr>
        <w:pos w:val="beneathText"/>
      </w:footnotePr>
      <w:pgSz w:w="11905" w:h="16837" w:code="9"/>
      <w:pgMar w:top="1134" w:right="1418" w:bottom="1134" w:left="1418"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5267" w14:textId="77777777" w:rsidR="00890130" w:rsidRDefault="00ED4025">
      <w:r>
        <w:separator/>
      </w:r>
    </w:p>
  </w:endnote>
  <w:endnote w:type="continuationSeparator" w:id="0">
    <w:p w14:paraId="1104D16B" w14:textId="77777777" w:rsidR="00890130" w:rsidRDefault="00ED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DAAC7" w14:textId="77777777" w:rsidR="000D22CA" w:rsidRDefault="0088272D" w:rsidP="00E705D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14:paraId="4DCD86DC" w14:textId="77777777" w:rsidR="000D22CA" w:rsidRDefault="001D443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7F5D" w14:textId="77777777" w:rsidR="000D22CA" w:rsidRDefault="001D443C" w:rsidP="00E705DB">
    <w:pPr>
      <w:pStyle w:val="llb"/>
      <w:framePr w:wrap="around" w:vAnchor="text" w:hAnchor="margin" w:xAlign="center" w:y="1"/>
      <w:rPr>
        <w:rStyle w:val="Oldalszm"/>
        <w:rFonts w:cs="Arial"/>
        <w:sz w:val="16"/>
        <w:szCs w:val="16"/>
      </w:rPr>
    </w:pPr>
  </w:p>
  <w:p w14:paraId="65E6BF11" w14:textId="77777777" w:rsidR="000D22CA" w:rsidRDefault="001D443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60F5" w14:textId="40F7FE15" w:rsidR="00A05C3A" w:rsidRPr="00A05C3A" w:rsidRDefault="00315B33">
    <w:pPr>
      <w:pStyle w:val="llb"/>
      <w:rPr>
        <w:rFonts w:ascii="Times New Roman" w:hAnsi="Times New Roman"/>
        <w:sz w:val="18"/>
        <w:szCs w:val="18"/>
      </w:rPr>
    </w:pPr>
    <w:r>
      <w:rPr>
        <w:rFonts w:ascii="Times New Roman" w:hAnsi="Times New Roman"/>
        <w:sz w:val="18"/>
        <w:szCs w:val="18"/>
      </w:rPr>
      <w:t>OGYÉI/50090/2020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B797" w14:textId="77777777" w:rsidR="00890130" w:rsidRDefault="00ED4025">
      <w:r>
        <w:separator/>
      </w:r>
    </w:p>
  </w:footnote>
  <w:footnote w:type="continuationSeparator" w:id="0">
    <w:p w14:paraId="3BF802F5" w14:textId="77777777" w:rsidR="00890130" w:rsidRDefault="00ED4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9592A" w14:textId="21F3CB77" w:rsidR="000D22CA" w:rsidRPr="001B59B8" w:rsidRDefault="0088272D" w:rsidP="001B59B8">
    <w:pPr>
      <w:pStyle w:val="lfej"/>
      <w:jc w:val="center"/>
      <w:rPr>
        <w:rFonts w:ascii="Times New Roman" w:hAnsi="Times New Roman"/>
        <w:b w:val="0"/>
        <w:sz w:val="18"/>
        <w:szCs w:val="18"/>
      </w:rPr>
    </w:pPr>
    <w:r w:rsidRPr="001B59B8">
      <w:rPr>
        <w:rStyle w:val="Oldalszm"/>
        <w:b w:val="0"/>
        <w:sz w:val="18"/>
        <w:szCs w:val="18"/>
      </w:rPr>
      <w:fldChar w:fldCharType="begin"/>
    </w:r>
    <w:r w:rsidRPr="001B59B8">
      <w:rPr>
        <w:rStyle w:val="Oldalszm"/>
        <w:b w:val="0"/>
        <w:sz w:val="18"/>
        <w:szCs w:val="18"/>
      </w:rPr>
      <w:instrText xml:space="preserve"> PAGE </w:instrText>
    </w:r>
    <w:r w:rsidRPr="001B59B8">
      <w:rPr>
        <w:rStyle w:val="Oldalszm"/>
        <w:b w:val="0"/>
        <w:sz w:val="18"/>
        <w:szCs w:val="18"/>
      </w:rPr>
      <w:fldChar w:fldCharType="separate"/>
    </w:r>
    <w:r w:rsidR="001D443C">
      <w:rPr>
        <w:rStyle w:val="Oldalszm"/>
        <w:b w:val="0"/>
        <w:noProof/>
        <w:sz w:val="18"/>
        <w:szCs w:val="18"/>
      </w:rPr>
      <w:t>7</w:t>
    </w:r>
    <w:r w:rsidRPr="001B59B8">
      <w:rPr>
        <w:rStyle w:val="Oldalszm"/>
        <w:b w:val="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7"/>
    <w:lvl w:ilvl="0">
      <w:start w:val="2"/>
      <w:numFmt w:val="decimal"/>
      <w:lvlText w:val="%1."/>
      <w:lvlJc w:val="left"/>
      <w:pPr>
        <w:tabs>
          <w:tab w:val="num" w:pos="720"/>
        </w:tabs>
        <w:ind w:left="720" w:hanging="7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6"/>
    <w:multiLevelType w:val="multilevel"/>
    <w:tmpl w:val="00000006"/>
    <w:name w:val="Outline"/>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5E1800B2"/>
    <w:multiLevelType w:val="multilevel"/>
    <w:tmpl w:val="DAE665A8"/>
    <w:lvl w:ilvl="0">
      <w:start w:val="1"/>
      <w:numFmt w:val="decimal"/>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F65C53"/>
    <w:multiLevelType w:val="hybridMultilevel"/>
    <w:tmpl w:val="531A8B3A"/>
    <w:lvl w:ilvl="0" w:tplc="6CAECED8">
      <w:start w:val="1"/>
      <w:numFmt w:val="bullet"/>
      <w:lvlText w:val="-"/>
      <w:lvlJc w:val="left"/>
      <w:pPr>
        <w:tabs>
          <w:tab w:val="num" w:pos="360"/>
        </w:tabs>
        <w:ind w:left="360" w:hanging="360"/>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D"/>
    <w:rsid w:val="000314B8"/>
    <w:rsid w:val="00055939"/>
    <w:rsid w:val="000E63F8"/>
    <w:rsid w:val="0010151B"/>
    <w:rsid w:val="0013124A"/>
    <w:rsid w:val="00167E93"/>
    <w:rsid w:val="001D443C"/>
    <w:rsid w:val="002422E6"/>
    <w:rsid w:val="002C3606"/>
    <w:rsid w:val="002F4F52"/>
    <w:rsid w:val="00313FC7"/>
    <w:rsid w:val="00315B33"/>
    <w:rsid w:val="0034117B"/>
    <w:rsid w:val="004C0F9D"/>
    <w:rsid w:val="004E743C"/>
    <w:rsid w:val="00555843"/>
    <w:rsid w:val="007C3F86"/>
    <w:rsid w:val="007C487A"/>
    <w:rsid w:val="00865E20"/>
    <w:rsid w:val="0088272D"/>
    <w:rsid w:val="00890130"/>
    <w:rsid w:val="008E5246"/>
    <w:rsid w:val="00983806"/>
    <w:rsid w:val="009C6421"/>
    <w:rsid w:val="009E43AC"/>
    <w:rsid w:val="00A05C3A"/>
    <w:rsid w:val="00B34045"/>
    <w:rsid w:val="00C72F55"/>
    <w:rsid w:val="00CC301A"/>
    <w:rsid w:val="00D94299"/>
    <w:rsid w:val="00ED4025"/>
    <w:rsid w:val="00FF5E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A5D4"/>
  <w15:chartTrackingRefBased/>
  <w15:docId w15:val="{6878F647-7528-415E-B844-295B18B3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272D"/>
    <w:pPr>
      <w:suppressAutoHyphens/>
      <w:spacing w:after="0" w:line="240" w:lineRule="auto"/>
    </w:pPr>
    <w:rPr>
      <w:rFonts w:ascii="Times New Roman" w:eastAsia="Times New Roman" w:hAnsi="Times New Roman" w:cs="Times New Roman"/>
      <w:szCs w:val="20"/>
      <w:lang w:val="hu-HU" w:eastAsia="ar-SA"/>
    </w:rPr>
  </w:style>
  <w:style w:type="paragraph" w:styleId="Cmsor2">
    <w:name w:val="heading 2"/>
    <w:basedOn w:val="Norml"/>
    <w:next w:val="Norml"/>
    <w:link w:val="Cmsor2Char"/>
    <w:qFormat/>
    <w:rsid w:val="0088272D"/>
    <w:pPr>
      <w:keepNext/>
      <w:numPr>
        <w:ilvl w:val="1"/>
        <w:numId w:val="4"/>
      </w:numPr>
      <w:spacing w:before="113" w:after="57"/>
      <w:outlineLvl w:val="1"/>
    </w:pPr>
    <w:rPr>
      <w:rFonts w:ascii="Arial" w:hAnsi="Arial"/>
      <w:b/>
      <w:sz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8272D"/>
    <w:rPr>
      <w:rFonts w:ascii="Arial" w:eastAsia="Times New Roman" w:hAnsi="Arial" w:cs="Times New Roman"/>
      <w:b/>
      <w:sz w:val="24"/>
      <w:szCs w:val="20"/>
      <w:lang w:val="en-US" w:eastAsia="ar-SA"/>
    </w:rPr>
  </w:style>
  <w:style w:type="character" w:styleId="Oldalszm">
    <w:name w:val="page number"/>
    <w:basedOn w:val="Bekezdsalapbettpusa"/>
    <w:rsid w:val="0088272D"/>
  </w:style>
  <w:style w:type="paragraph" w:styleId="Szvegtrzs">
    <w:name w:val="Body Text"/>
    <w:basedOn w:val="Norml"/>
    <w:link w:val="SzvegtrzsChar"/>
    <w:rsid w:val="0088272D"/>
    <w:pPr>
      <w:spacing w:line="360" w:lineRule="auto"/>
    </w:pPr>
    <w:rPr>
      <w:sz w:val="24"/>
      <w:lang w:val="en-GB"/>
    </w:rPr>
  </w:style>
  <w:style w:type="character" w:customStyle="1" w:styleId="SzvegtrzsChar">
    <w:name w:val="Szövegtörzs Char"/>
    <w:basedOn w:val="Bekezdsalapbettpusa"/>
    <w:link w:val="Szvegtrzs"/>
    <w:rsid w:val="0088272D"/>
    <w:rPr>
      <w:rFonts w:ascii="Times New Roman" w:eastAsia="Times New Roman" w:hAnsi="Times New Roman" w:cs="Times New Roman"/>
      <w:sz w:val="24"/>
      <w:szCs w:val="20"/>
      <w:lang w:eastAsia="ar-SA"/>
    </w:rPr>
  </w:style>
  <w:style w:type="paragraph" w:styleId="llb">
    <w:name w:val="footer"/>
    <w:aliases w:val="Footer Char1,Footer Char2 Char,Footer Char1 Char Char,Footer Char2 Char Char1 Char,Footer Char1 Char Char Char Char1,Footer Char1 Char Char Char Char1 Char Char,Footer Char2 Char Char1 Char Char Char Char Char Char"/>
    <w:basedOn w:val="Norml"/>
    <w:link w:val="Hiperhivatkozs"/>
    <w:uiPriority w:val="99"/>
    <w:rsid w:val="0088272D"/>
    <w:pPr>
      <w:tabs>
        <w:tab w:val="center" w:pos="4683"/>
        <w:tab w:val="right" w:pos="9361"/>
      </w:tabs>
    </w:pPr>
    <w:rPr>
      <w:rFonts w:ascii="Arial" w:hAnsi="Arial"/>
    </w:rPr>
  </w:style>
  <w:style w:type="character" w:customStyle="1" w:styleId="FuzeileZchn">
    <w:name w:val="Fußzeile Zchn"/>
    <w:basedOn w:val="Bekezdsalapbettpusa"/>
    <w:uiPriority w:val="99"/>
    <w:semiHidden/>
    <w:rsid w:val="0088272D"/>
    <w:rPr>
      <w:rFonts w:ascii="Times New Roman" w:eastAsia="Times New Roman" w:hAnsi="Times New Roman" w:cs="Times New Roman"/>
      <w:szCs w:val="20"/>
      <w:lang w:val="hu-HU" w:eastAsia="ar-SA"/>
    </w:rPr>
  </w:style>
  <w:style w:type="paragraph" w:styleId="lfej">
    <w:name w:val="header"/>
    <w:basedOn w:val="Norml"/>
    <w:link w:val="lfejChar"/>
    <w:rsid w:val="0088272D"/>
    <w:pPr>
      <w:tabs>
        <w:tab w:val="center" w:pos="4683"/>
        <w:tab w:val="right" w:pos="9361"/>
      </w:tabs>
    </w:pPr>
    <w:rPr>
      <w:rFonts w:ascii="Arial" w:hAnsi="Arial"/>
      <w:b/>
    </w:rPr>
  </w:style>
  <w:style w:type="character" w:customStyle="1" w:styleId="lfejChar">
    <w:name w:val="Élőfej Char"/>
    <w:basedOn w:val="Bekezdsalapbettpusa"/>
    <w:link w:val="lfej"/>
    <w:rsid w:val="0088272D"/>
    <w:rPr>
      <w:rFonts w:ascii="Arial" w:eastAsia="Times New Roman" w:hAnsi="Arial" w:cs="Times New Roman"/>
      <w:b/>
      <w:szCs w:val="20"/>
      <w:lang w:val="hu-HU" w:eastAsia="ar-SA"/>
    </w:rPr>
  </w:style>
  <w:style w:type="character" w:styleId="Hiperhivatkozs">
    <w:name w:val="Hyperlink"/>
    <w:aliases w:val="Élőláb Char,Footer Char1 Char,Footer Char2 Char Char,Footer Char1 Char Char Char,Footer Char2 Char Char1 Char Char,Footer Char1 Char Char Char Char1 Char,Footer Char1 Char Char Char Char1 Char Char Char"/>
    <w:link w:val="llb"/>
    <w:uiPriority w:val="99"/>
    <w:unhideWhenUsed/>
    <w:rsid w:val="0088272D"/>
    <w:rPr>
      <w:rFonts w:ascii="Arial" w:eastAsia="Times New Roman" w:hAnsi="Arial" w:cs="Times New Roman"/>
      <w:szCs w:val="20"/>
      <w:lang w:val="hu-HU" w:eastAsia="ar-SA"/>
    </w:rPr>
  </w:style>
  <w:style w:type="paragraph" w:customStyle="1" w:styleId="Default">
    <w:name w:val="Default"/>
    <w:rsid w:val="0088272D"/>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character" w:customStyle="1" w:styleId="shorttext">
    <w:name w:val="short_text"/>
    <w:basedOn w:val="Bekezdsalapbettpusa"/>
    <w:rsid w:val="0088272D"/>
  </w:style>
  <w:style w:type="paragraph" w:styleId="Buborkszveg">
    <w:name w:val="Balloon Text"/>
    <w:basedOn w:val="Norml"/>
    <w:link w:val="BuborkszvegChar"/>
    <w:uiPriority w:val="99"/>
    <w:semiHidden/>
    <w:unhideWhenUsed/>
    <w:rsid w:val="00ED402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4025"/>
    <w:rPr>
      <w:rFonts w:ascii="Segoe UI" w:eastAsia="Times New Roman" w:hAnsi="Segoe UI" w:cs="Segoe UI"/>
      <w:sz w:val="18"/>
      <w:szCs w:val="18"/>
      <w:lang w:val="hu-HU" w:eastAsia="ar-SA"/>
    </w:rPr>
  </w:style>
  <w:style w:type="character" w:styleId="Jegyzethivatkozs">
    <w:name w:val="annotation reference"/>
    <w:basedOn w:val="Bekezdsalapbettpusa"/>
    <w:uiPriority w:val="99"/>
    <w:semiHidden/>
    <w:unhideWhenUsed/>
    <w:rsid w:val="00B34045"/>
    <w:rPr>
      <w:sz w:val="16"/>
      <w:szCs w:val="16"/>
    </w:rPr>
  </w:style>
  <w:style w:type="paragraph" w:styleId="Jegyzetszveg">
    <w:name w:val="annotation text"/>
    <w:basedOn w:val="Norml"/>
    <w:link w:val="JegyzetszvegChar"/>
    <w:uiPriority w:val="99"/>
    <w:semiHidden/>
    <w:unhideWhenUsed/>
    <w:rsid w:val="00B34045"/>
    <w:rPr>
      <w:sz w:val="20"/>
    </w:rPr>
  </w:style>
  <w:style w:type="character" w:customStyle="1" w:styleId="JegyzetszvegChar">
    <w:name w:val="Jegyzetszöveg Char"/>
    <w:basedOn w:val="Bekezdsalapbettpusa"/>
    <w:link w:val="Jegyzetszveg"/>
    <w:uiPriority w:val="99"/>
    <w:semiHidden/>
    <w:rsid w:val="00B34045"/>
    <w:rPr>
      <w:rFonts w:ascii="Times New Roman" w:eastAsia="Times New Roman" w:hAnsi="Times New Roman" w:cs="Times New Roman"/>
      <w:sz w:val="20"/>
      <w:szCs w:val="20"/>
      <w:lang w:val="hu-HU" w:eastAsia="ar-SA"/>
    </w:rPr>
  </w:style>
  <w:style w:type="paragraph" w:styleId="Megjegyzstrgya">
    <w:name w:val="annotation subject"/>
    <w:basedOn w:val="Jegyzetszveg"/>
    <w:next w:val="Jegyzetszveg"/>
    <w:link w:val="MegjegyzstrgyaChar"/>
    <w:uiPriority w:val="99"/>
    <w:semiHidden/>
    <w:unhideWhenUsed/>
    <w:rsid w:val="00B34045"/>
    <w:rPr>
      <w:b/>
      <w:bCs/>
    </w:rPr>
  </w:style>
  <w:style w:type="character" w:customStyle="1" w:styleId="MegjegyzstrgyaChar">
    <w:name w:val="Megjegyzés tárgya Char"/>
    <w:basedOn w:val="JegyzetszvegChar"/>
    <w:link w:val="Megjegyzstrgya"/>
    <w:uiPriority w:val="99"/>
    <w:semiHidden/>
    <w:rsid w:val="00B34045"/>
    <w:rPr>
      <w:rFonts w:ascii="Times New Roman" w:eastAsia="Times New Roman" w:hAnsi="Times New Roman" w:cs="Times New Roman"/>
      <w:b/>
      <w:bCs/>
      <w:sz w:val="20"/>
      <w:szCs w:val="20"/>
      <w:lang w:val="hu-HU" w:eastAsia="ar-SA"/>
    </w:rPr>
  </w:style>
  <w:style w:type="paragraph" w:styleId="Vltozat">
    <w:name w:val="Revision"/>
    <w:hidden/>
    <w:uiPriority w:val="99"/>
    <w:semiHidden/>
    <w:rsid w:val="00B34045"/>
    <w:pPr>
      <w:spacing w:after="0" w:line="240" w:lineRule="auto"/>
    </w:pPr>
    <w:rPr>
      <w:rFonts w:ascii="Times New Roman" w:eastAsia="Times New Roman" w:hAnsi="Times New Roman" w:cs="Times New Roman"/>
      <w:szCs w:val="20"/>
      <w:lang w:val="hu-HU" w:eastAsia="ar-SA"/>
    </w:rPr>
  </w:style>
  <w:style w:type="character" w:customStyle="1" w:styleId="tlid-translation">
    <w:name w:val="tlid-translation"/>
    <w:basedOn w:val="Bekezdsalapbettpusa"/>
    <w:rsid w:val="007C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2693</Words>
  <Characters>18589</Characters>
  <Application>Microsoft Office Word</Application>
  <DocSecurity>0</DocSecurity>
  <Lines>154</Lines>
  <Paragraphs>42</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Fenske</dc:creator>
  <cp:keywords/>
  <dc:description/>
  <cp:lastModifiedBy>OGYI_60.1</cp:lastModifiedBy>
  <cp:revision>3</cp:revision>
  <dcterms:created xsi:type="dcterms:W3CDTF">2020-12-02T11:41:00Z</dcterms:created>
  <dcterms:modified xsi:type="dcterms:W3CDTF">2020-12-02T11:41:00Z</dcterms:modified>
</cp:coreProperties>
</file>