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022" w:rsidRDefault="004E4EC7">
      <w:pPr>
        <w:ind w:left="567" w:hanging="567"/>
        <w:contextualSpacing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1.</w:t>
      </w:r>
      <w:r>
        <w:rPr>
          <w:b/>
          <w:bCs/>
          <w:sz w:val="22"/>
          <w:szCs w:val="22"/>
          <w:lang w:val="hu-HU"/>
        </w:rPr>
        <w:tab/>
        <w:t>A GYÓGYSZER NEVE</w:t>
      </w:r>
    </w:p>
    <w:p w:rsidR="004C0022" w:rsidRDefault="004C0022">
      <w:pPr>
        <w:contextualSpacing/>
        <w:rPr>
          <w:b/>
          <w:bCs/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Betaserc 8 mg tabletta</w:t>
      </w:r>
    </w:p>
    <w:p w:rsidR="004C0022" w:rsidRDefault="004E4EC7">
      <w:pPr>
        <w:pStyle w:val="Cmsor4"/>
        <w:contextualSpacing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Betaserc 16 mg tabletta</w:t>
      </w:r>
    </w:p>
    <w:p w:rsidR="004C0022" w:rsidRDefault="004E4EC7">
      <w:pPr>
        <w:pStyle w:val="Cmsor4"/>
        <w:contextualSpacing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Betaserc 24 mg tabletta</w:t>
      </w:r>
    </w:p>
    <w:p w:rsidR="004C0022" w:rsidRDefault="004C0022">
      <w:pPr>
        <w:contextualSpacing/>
        <w:rPr>
          <w:b/>
          <w:bCs/>
          <w:sz w:val="22"/>
          <w:szCs w:val="22"/>
          <w:lang w:val="hu-HU"/>
        </w:rPr>
      </w:pPr>
    </w:p>
    <w:p w:rsidR="004C0022" w:rsidRDefault="004C0022">
      <w:pPr>
        <w:contextualSpacing/>
        <w:rPr>
          <w:b/>
          <w:bCs/>
          <w:sz w:val="22"/>
          <w:szCs w:val="22"/>
          <w:lang w:val="hu-HU"/>
        </w:rPr>
      </w:pPr>
    </w:p>
    <w:p w:rsidR="004C0022" w:rsidRDefault="004E4EC7">
      <w:pPr>
        <w:ind w:left="567" w:hanging="567"/>
        <w:contextualSpacing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2.</w:t>
      </w:r>
      <w:r>
        <w:rPr>
          <w:b/>
          <w:bCs/>
          <w:sz w:val="22"/>
          <w:szCs w:val="22"/>
          <w:lang w:val="hu-HU"/>
        </w:rPr>
        <w:tab/>
        <w:t>MINŐSÉGI ÉS MENNYISÉGI ÖSSZETÉTEL</w:t>
      </w:r>
    </w:p>
    <w:p w:rsidR="004C0022" w:rsidRDefault="004C0022">
      <w:pPr>
        <w:contextualSpacing/>
        <w:rPr>
          <w:b/>
          <w:bCs/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Betaserc 8 mg tabletta: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Tablettánként 8 mg betahisztin-dihidroklorid, amely 5,21 mg betahisztinnek felel meg.</w:t>
      </w:r>
    </w:p>
    <w:p w:rsidR="004C0022" w:rsidRDefault="004C0022">
      <w:pPr>
        <w:pStyle w:val="Cmsor4"/>
        <w:contextualSpacing/>
        <w:rPr>
          <w:b w:val="0"/>
          <w:bCs w:val="0"/>
          <w:sz w:val="22"/>
          <w:szCs w:val="22"/>
        </w:rPr>
      </w:pPr>
    </w:p>
    <w:p w:rsidR="004C0022" w:rsidRDefault="004E4EC7">
      <w:pPr>
        <w:pStyle w:val="Cmsor4"/>
        <w:contextualSpacing/>
        <w:rPr>
          <w:b w:val="0"/>
          <w:bCs w:val="0"/>
          <w:sz w:val="22"/>
          <w:szCs w:val="22"/>
          <w:u w:val="single"/>
        </w:rPr>
      </w:pPr>
      <w:r>
        <w:rPr>
          <w:b w:val="0"/>
          <w:bCs w:val="0"/>
          <w:sz w:val="22"/>
          <w:szCs w:val="22"/>
          <w:u w:val="single"/>
        </w:rPr>
        <w:t>Betaserc 16 mg tabletta: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Tablettánként 16 mg betahisztin-dihidroklorid, amely 10,42 mg betahisztinnek felel meg.</w:t>
      </w:r>
    </w:p>
    <w:p w:rsidR="004C0022" w:rsidRDefault="004C0022">
      <w:pPr>
        <w:pStyle w:val="Cmsor4"/>
        <w:contextualSpacing/>
        <w:rPr>
          <w:b w:val="0"/>
          <w:bCs w:val="0"/>
          <w:sz w:val="22"/>
          <w:szCs w:val="22"/>
        </w:rPr>
      </w:pPr>
    </w:p>
    <w:p w:rsidR="004C0022" w:rsidRDefault="004E4EC7">
      <w:pPr>
        <w:pStyle w:val="Cmsor4"/>
        <w:contextualSpacing/>
        <w:rPr>
          <w:b w:val="0"/>
          <w:bCs w:val="0"/>
          <w:sz w:val="22"/>
          <w:szCs w:val="22"/>
          <w:u w:val="single"/>
        </w:rPr>
      </w:pPr>
      <w:r>
        <w:rPr>
          <w:b w:val="0"/>
          <w:bCs w:val="0"/>
          <w:sz w:val="22"/>
          <w:szCs w:val="22"/>
          <w:u w:val="single"/>
        </w:rPr>
        <w:t>Betaserc 24 mg tabletta: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Tablettánként 24 mg betahisztin-dihidroklorid, amely 15,63 mg betahisztinnek felel meg.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 w:eastAsia="en-US"/>
        </w:rPr>
        <w:t>A segédanyagok teljes listáját lásd a 6.1 pontban.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numPr>
          <w:ilvl w:val="0"/>
          <w:numId w:val="1"/>
        </w:numPr>
        <w:tabs>
          <w:tab w:val="clear" w:pos="720"/>
        </w:tabs>
        <w:ind w:left="567" w:hanging="567"/>
        <w:contextualSpacing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GYÓGYSZERFORMA</w:t>
      </w:r>
    </w:p>
    <w:p w:rsidR="004C0022" w:rsidRDefault="004C0022">
      <w:pPr>
        <w:contextualSpacing/>
        <w:rPr>
          <w:i/>
          <w:sz w:val="22"/>
          <w:szCs w:val="22"/>
          <w:lang w:val="hu-HU"/>
        </w:rPr>
      </w:pPr>
    </w:p>
    <w:p w:rsidR="004C0022" w:rsidRDefault="004E4EC7">
      <w:pPr>
        <w:pStyle w:val="Szvegtrzsbehzssal"/>
        <w:ind w:left="0"/>
        <w:contextualSpacing/>
        <w:rPr>
          <w:sz w:val="22"/>
          <w:szCs w:val="22"/>
        </w:rPr>
      </w:pPr>
      <w:r>
        <w:rPr>
          <w:sz w:val="22"/>
          <w:szCs w:val="22"/>
        </w:rPr>
        <w:t>Tabletta.</w:t>
      </w:r>
    </w:p>
    <w:p w:rsidR="004C0022" w:rsidRDefault="004C0022">
      <w:pPr>
        <w:pStyle w:val="Szvegtrzsbehzssal"/>
        <w:ind w:left="0"/>
        <w:contextualSpacing/>
        <w:rPr>
          <w:sz w:val="22"/>
          <w:szCs w:val="22"/>
        </w:rPr>
      </w:pPr>
    </w:p>
    <w:p w:rsidR="004C0022" w:rsidRDefault="004E4EC7">
      <w:pPr>
        <w:pStyle w:val="Szvegtrzsbehzssal"/>
        <w:ind w:left="0"/>
        <w:contextualSpacing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Betaserc 8 mg tabletta: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125 mg tömegű, kerek, lapos, fehér, illetve csaknem fehér, metszett élű tabletta, egyik oldalán 256 kódjelzéssel ellátva. A tabletta átmérője 7 mm, magassága 2,0 mm..</w:t>
      </w:r>
    </w:p>
    <w:p w:rsidR="004C0022" w:rsidRDefault="004C0022">
      <w:pPr>
        <w:contextualSpacing/>
        <w:rPr>
          <w:sz w:val="22"/>
          <w:szCs w:val="22"/>
          <w:u w:val="single"/>
          <w:lang w:val="hu-HU"/>
        </w:rPr>
      </w:pPr>
    </w:p>
    <w:p w:rsidR="004C0022" w:rsidRDefault="004E4EC7">
      <w:pPr>
        <w:contextualSpacing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Betaserc 16 mg tabletta: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250 mg tömegű, kerek, mindkét oldalán domború, fehér, illetve csaknem fehér, metszett élű tabletta, egyik oldalán bemetszéssel és a bemetszés mindkét oldalán 267 kódjelzéssel ellátva. A tabletta átmérője 8,5 mm, magassága 4,0 mm.</w:t>
      </w:r>
    </w:p>
    <w:p w:rsidR="004C0022" w:rsidRDefault="004C0022">
      <w:pPr>
        <w:contextualSpacing/>
        <w:rPr>
          <w:sz w:val="22"/>
          <w:szCs w:val="22"/>
          <w:u w:val="single"/>
          <w:lang w:val="hu-HU"/>
        </w:rPr>
      </w:pP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u w:val="single"/>
          <w:lang w:val="hu-HU"/>
        </w:rPr>
        <w:t>Betaserc 24 mg tabletta: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375 mg tömegű, fehér vagy csaknem fehér, kerek, mindkét oldalán domború, metszett élű tabletta, egyik oldalán bemetszéssel és a bemetszés mindkét oldalán „289” jelzéssel ellátva. A tabletta átmérője 10 mm.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tablettán lévő bemetszés csak a széttörés elősegítésére és a lenyelés megkönnyítésére szolgál, nem arra, hogy a készítményt egyenlő adagokra ossza.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ind w:left="567" w:hanging="567"/>
        <w:contextualSpacing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4.</w:t>
      </w:r>
      <w:r>
        <w:rPr>
          <w:b/>
          <w:bCs/>
          <w:sz w:val="22"/>
          <w:szCs w:val="22"/>
          <w:lang w:val="hu-HU"/>
        </w:rPr>
        <w:tab/>
        <w:t xml:space="preserve">KLINIKAI JELLEMZŐK </w:t>
      </w:r>
    </w:p>
    <w:p w:rsidR="004C0022" w:rsidRDefault="004C0022">
      <w:pPr>
        <w:contextualSpacing/>
        <w:rPr>
          <w:b/>
          <w:bCs/>
          <w:sz w:val="22"/>
          <w:szCs w:val="22"/>
          <w:lang w:val="hu-HU"/>
        </w:rPr>
      </w:pPr>
    </w:p>
    <w:p w:rsidR="004C0022" w:rsidRDefault="004E4EC7">
      <w:pPr>
        <w:ind w:left="567" w:hanging="567"/>
        <w:contextualSpacing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4.1</w:t>
      </w:r>
      <w:r>
        <w:rPr>
          <w:b/>
          <w:bCs/>
          <w:sz w:val="22"/>
          <w:szCs w:val="22"/>
          <w:lang w:val="hu-HU"/>
        </w:rPr>
        <w:tab/>
        <w:t>Terápiás javallatok</w:t>
      </w:r>
    </w:p>
    <w:p w:rsidR="004C0022" w:rsidRDefault="004C0022">
      <w:pPr>
        <w:contextualSpacing/>
        <w:rPr>
          <w:b/>
          <w:bCs/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Ménière-szindróma, aminek alaptünetei a következők:</w:t>
      </w:r>
    </w:p>
    <w:p w:rsidR="004C0022" w:rsidRDefault="004E4EC7">
      <w:pPr>
        <w:numPr>
          <w:ilvl w:val="0"/>
          <w:numId w:val="2"/>
        </w:numPr>
        <w:tabs>
          <w:tab w:val="clear" w:pos="1080"/>
          <w:tab w:val="num" w:pos="709"/>
        </w:tabs>
        <w:ind w:left="0" w:firstLine="0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vertigo (hányingerrel / hányással)</w:t>
      </w:r>
    </w:p>
    <w:p w:rsidR="004C0022" w:rsidRDefault="004E4EC7">
      <w:pPr>
        <w:numPr>
          <w:ilvl w:val="0"/>
          <w:numId w:val="2"/>
        </w:numPr>
        <w:tabs>
          <w:tab w:val="clear" w:pos="1080"/>
          <w:tab w:val="num" w:pos="709"/>
        </w:tabs>
        <w:ind w:left="0" w:firstLine="0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hallásvesztés (nagyothallás)</w:t>
      </w:r>
    </w:p>
    <w:p w:rsidR="004C0022" w:rsidRDefault="004E4EC7">
      <w:pPr>
        <w:numPr>
          <w:ilvl w:val="0"/>
          <w:numId w:val="2"/>
        </w:numPr>
        <w:tabs>
          <w:tab w:val="clear" w:pos="1080"/>
          <w:tab w:val="num" w:pos="709"/>
        </w:tabs>
        <w:ind w:left="0" w:firstLine="0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tinnitus.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Vestibularis vertigo tüneti kezelése.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keepNext/>
        <w:ind w:left="567" w:hanging="567"/>
        <w:contextualSpacing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4.2</w:t>
      </w:r>
      <w:r>
        <w:rPr>
          <w:b/>
          <w:bCs/>
          <w:sz w:val="22"/>
          <w:szCs w:val="22"/>
          <w:lang w:val="hu-HU"/>
        </w:rPr>
        <w:tab/>
        <w:t>Adagolás</w:t>
      </w:r>
    </w:p>
    <w:p w:rsidR="004C0022" w:rsidRDefault="004C0022">
      <w:pPr>
        <w:keepNext/>
        <w:contextualSpacing/>
        <w:rPr>
          <w:b/>
          <w:bCs/>
          <w:i/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Betaserc 8 mg tabletta és Betaserc 16 mg tabletta: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lastRenderedPageBreak/>
        <w:t>Felnőttek adagja:</w:t>
      </w:r>
      <w:r>
        <w:rPr>
          <w:sz w:val="22"/>
          <w:szCs w:val="22"/>
          <w:lang w:val="hu-HU"/>
        </w:rPr>
        <w:t xml:space="preserve"> 24-48 mg betahisztin a nap folyamán egyenletesen elosztva.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4C0022">
        <w:tc>
          <w:tcPr>
            <w:tcW w:w="4643" w:type="dxa"/>
          </w:tcPr>
          <w:p w:rsidR="004C0022" w:rsidRDefault="004E4EC7">
            <w:pPr>
              <w:contextualSpacing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Betaserc 8 mg tabletta</w:t>
            </w:r>
          </w:p>
        </w:tc>
        <w:tc>
          <w:tcPr>
            <w:tcW w:w="4643" w:type="dxa"/>
          </w:tcPr>
          <w:p w:rsidR="004C0022" w:rsidRDefault="004E4EC7">
            <w:pPr>
              <w:contextualSpacing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Betaserc 16 mg tabletta</w:t>
            </w:r>
          </w:p>
        </w:tc>
      </w:tr>
      <w:tr w:rsidR="004C0022">
        <w:tc>
          <w:tcPr>
            <w:tcW w:w="4643" w:type="dxa"/>
          </w:tcPr>
          <w:p w:rsidR="004C0022" w:rsidRDefault="004E4EC7">
            <w:pPr>
              <w:contextualSpacing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1-2 tabletta naponta 3-szor</w:t>
            </w:r>
          </w:p>
        </w:tc>
        <w:tc>
          <w:tcPr>
            <w:tcW w:w="4643" w:type="dxa"/>
          </w:tcPr>
          <w:p w:rsidR="004C0022" w:rsidRDefault="004E4EC7">
            <w:pPr>
              <w:contextualSpacing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½-1 tabletta naponta 3-szor</w:t>
            </w:r>
          </w:p>
        </w:tc>
      </w:tr>
    </w:tbl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Betaserc 24 mg tabletta: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t>Felnőttek adagja:</w:t>
      </w:r>
      <w:r>
        <w:rPr>
          <w:sz w:val="22"/>
          <w:szCs w:val="22"/>
          <w:lang w:val="hu-HU"/>
        </w:rPr>
        <w:t xml:space="preserve"> 48 mg betahisztin a nap folyamán egyenletesen elosztva.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8"/>
      </w:tblGrid>
      <w:tr w:rsidR="004C0022">
        <w:tc>
          <w:tcPr>
            <w:tcW w:w="2448" w:type="dxa"/>
          </w:tcPr>
          <w:p w:rsidR="004C0022" w:rsidRDefault="004E4EC7">
            <w:pPr>
              <w:contextualSpacing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Betaserc 24 mg tabletta</w:t>
            </w:r>
          </w:p>
        </w:tc>
      </w:tr>
      <w:tr w:rsidR="004C0022">
        <w:tc>
          <w:tcPr>
            <w:tcW w:w="2448" w:type="dxa"/>
          </w:tcPr>
          <w:p w:rsidR="004C0022" w:rsidRDefault="004E4EC7">
            <w:pPr>
              <w:contextualSpacing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1 tabletta naponta 2-szer</w:t>
            </w:r>
          </w:p>
        </w:tc>
      </w:tr>
    </w:tbl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adagolást egyénileg kell megállapítani, a beteg kezelésre adott válaszának megfelelően. A javulás esetenként csak többhetes kezelés után jelentkezik. A legjobb eredmény egyes esetekben csak többhónapos kezeléssel érhető el. A betegség jelentkezésekor megkezdett kezelés megakadályozza a betegség progresszióját és/vagy a hallásvesztést a betegség későbbi stádiumában. 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contextualSpacing/>
        <w:rPr>
          <w:i/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t>Speciális betegpopulációk:</w:t>
      </w:r>
    </w:p>
    <w:p w:rsidR="004C0022" w:rsidRDefault="004E4EC7">
      <w:pPr>
        <w:contextualSpacing/>
        <w:rPr>
          <w:i/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t>Gyermekek: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Betaserc tabletták alkalmazása nem javasolt 18 év alatti gyermekek számára a biztonságosságra és a hatásosságra vonatkozó adatok elégtelensége miatt. 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contextualSpacing/>
        <w:rPr>
          <w:i/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t>Idősek: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klinikai vizsgálati adatok limitáltak ebben a betegcsoportban, posztmarketing adatok alapján nem látszik szükségesnek az adagolás módosítása.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t>Adagolás károsodott veseműködés esetén:</w:t>
      </w:r>
      <w:r>
        <w:rPr>
          <w:sz w:val="22"/>
          <w:szCs w:val="22"/>
          <w:lang w:val="hu-HU"/>
        </w:rPr>
        <w:t xml:space="preserve"> klinikai vizsgálati adatok nem állnak rendelkezésre ebben a betegcsoportban, de posztmarketing adatok alapján nem látszik szükségesnek az adagolás módosítása.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t>Adagolás májbetegségben:</w:t>
      </w:r>
      <w:r>
        <w:rPr>
          <w:sz w:val="22"/>
          <w:szCs w:val="22"/>
          <w:lang w:val="hu-HU"/>
        </w:rPr>
        <w:t xml:space="preserve"> klinikai vizsgálati adatok nem állnak rendelkezésre ebben a betegcsoportban, de posztmarketing adatok alapján nem látszik szükségesnek az adagolás módosítása.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ind w:left="567" w:hanging="567"/>
        <w:contextualSpacing/>
        <w:rPr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4.3</w:t>
      </w:r>
      <w:r>
        <w:rPr>
          <w:b/>
          <w:bCs/>
          <w:sz w:val="22"/>
          <w:szCs w:val="22"/>
          <w:lang w:val="hu-HU"/>
        </w:rPr>
        <w:tab/>
        <w:t>Ellenjavallatok</w:t>
      </w:r>
    </w:p>
    <w:p w:rsidR="004C0022" w:rsidRDefault="004C0022">
      <w:pPr>
        <w:pStyle w:val="Szvegtrzsbehzssal"/>
        <w:ind w:left="0"/>
        <w:contextualSpacing/>
        <w:rPr>
          <w:sz w:val="22"/>
          <w:szCs w:val="22"/>
        </w:rPr>
      </w:pPr>
    </w:p>
    <w:p w:rsidR="004C0022" w:rsidRDefault="004E4EC7">
      <w:pPr>
        <w:pStyle w:val="Szvegtrzsbehzssal"/>
        <w:ind w:left="0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A készítmény hatóanyagával vagy </w:t>
      </w:r>
      <w:r>
        <w:rPr>
          <w:noProof/>
          <w:sz w:val="22"/>
          <w:szCs w:val="22"/>
          <w:lang w:eastAsia="en-US"/>
        </w:rPr>
        <w:t>a 6.1 pontban felsorolt</w:t>
      </w:r>
      <w:r>
        <w:rPr>
          <w:noProof/>
          <w:lang w:eastAsia="en-US"/>
        </w:rPr>
        <w:t xml:space="preserve"> </w:t>
      </w:r>
      <w:r>
        <w:rPr>
          <w:sz w:val="22"/>
          <w:szCs w:val="22"/>
        </w:rPr>
        <w:t>bármely segédanyagával szembeni túlérzékenység.</w:t>
      </w:r>
    </w:p>
    <w:p w:rsidR="004C0022" w:rsidRDefault="004E4EC7">
      <w:pPr>
        <w:pStyle w:val="Szvegtrzsbehzssal"/>
        <w:ind w:left="0"/>
        <w:contextualSpacing/>
        <w:rPr>
          <w:sz w:val="22"/>
          <w:szCs w:val="22"/>
        </w:rPr>
      </w:pPr>
      <w:r>
        <w:rPr>
          <w:sz w:val="22"/>
          <w:szCs w:val="22"/>
        </w:rPr>
        <w:t>Phaeochromocytoma.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ind w:left="567" w:hanging="567"/>
        <w:contextualSpacing/>
        <w:rPr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4.4</w:t>
      </w:r>
      <w:r>
        <w:rPr>
          <w:b/>
          <w:bCs/>
          <w:sz w:val="22"/>
          <w:szCs w:val="22"/>
          <w:lang w:val="hu-HU"/>
        </w:rPr>
        <w:tab/>
        <w:t>Különleges figyelmeztetések és az alkalmazással kapcsolatos óvintézkedések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Asthma bronchialéban szenvedő betegeket, valamint azokat a betegeket, akiknek az anamnézisében gyomorfekély szerepel, a kezelés során gondosan meg kell figyelni. </w:t>
      </w:r>
    </w:p>
    <w:p w:rsidR="004C0022" w:rsidRDefault="004C0022">
      <w:pPr>
        <w:pStyle w:val="Szvegtrzsbehzssal3"/>
        <w:ind w:left="0"/>
        <w:contextualSpacing/>
        <w:rPr>
          <w:color w:val="000000"/>
          <w:sz w:val="22"/>
          <w:szCs w:val="22"/>
        </w:rPr>
      </w:pPr>
    </w:p>
    <w:p w:rsidR="004C0022" w:rsidRDefault="004E4EC7">
      <w:pPr>
        <w:ind w:left="567" w:hanging="567"/>
        <w:contextualSpacing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4.5</w:t>
      </w:r>
      <w:r>
        <w:rPr>
          <w:b/>
          <w:bCs/>
          <w:sz w:val="22"/>
          <w:szCs w:val="22"/>
          <w:lang w:val="hu-HU"/>
        </w:rPr>
        <w:tab/>
        <w:t>Gyógyszerkölcsönhatások és egyéb interakciók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t>In vivo</w:t>
      </w:r>
      <w:r>
        <w:rPr>
          <w:sz w:val="22"/>
          <w:szCs w:val="22"/>
          <w:lang w:val="hu-HU"/>
        </w:rPr>
        <w:t xml:space="preserve"> interakciós vizsgálatokat nem végeztek. Az </w:t>
      </w:r>
      <w:r>
        <w:rPr>
          <w:i/>
          <w:sz w:val="22"/>
          <w:szCs w:val="22"/>
          <w:lang w:val="hu-HU"/>
        </w:rPr>
        <w:t>in vitro</w:t>
      </w:r>
      <w:r>
        <w:rPr>
          <w:sz w:val="22"/>
          <w:szCs w:val="22"/>
          <w:lang w:val="hu-HU"/>
        </w:rPr>
        <w:t xml:space="preserve"> adatok alapján azonban nem várható a cytochrom P 450 enzim </w:t>
      </w:r>
      <w:r>
        <w:rPr>
          <w:i/>
          <w:sz w:val="22"/>
          <w:szCs w:val="22"/>
          <w:lang w:val="hu-HU"/>
        </w:rPr>
        <w:t xml:space="preserve">in vivo </w:t>
      </w:r>
      <w:r>
        <w:rPr>
          <w:sz w:val="22"/>
          <w:szCs w:val="22"/>
          <w:lang w:val="hu-HU"/>
        </w:rPr>
        <w:t>gátlása.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</w:t>
      </w:r>
      <w:r>
        <w:rPr>
          <w:i/>
          <w:sz w:val="22"/>
          <w:szCs w:val="22"/>
          <w:lang w:val="hu-HU"/>
        </w:rPr>
        <w:t xml:space="preserve">in vitro </w:t>
      </w:r>
      <w:r>
        <w:rPr>
          <w:sz w:val="22"/>
          <w:szCs w:val="22"/>
          <w:lang w:val="hu-HU"/>
        </w:rPr>
        <w:t>adatok arra utalnak, hogy a betahisztin metabolizmusát gátolják a monoaminoxidáz-gátló (MAO-gátló) gyógyszerek, ideértve a B altípusú MAO-gátlókat (pl. szelegilin) is. Óvatosság javasolt a betahisztin és valamely MAO-gátló (beleértve a szelektív MAO-B-inhibitorokat is) egyidejű alkalmazásakor.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Minthogy a betahisztin hisztaminanalóg, a betahisztin és az antihisztaminok elméletileg befolyásolhatják egymás hatásosságát. 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ind w:left="567" w:hanging="567"/>
        <w:contextualSpacing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4.6</w:t>
      </w:r>
      <w:r>
        <w:rPr>
          <w:b/>
          <w:bCs/>
          <w:sz w:val="22"/>
          <w:szCs w:val="22"/>
          <w:lang w:val="hu-HU"/>
        </w:rPr>
        <w:tab/>
        <w:t>Termékenység, terhesség és szoptatás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Terhesség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Terhes nőkön történő alkalmazásra nincs megfelelő adat a betahisztin tekintetében. Állatkísérletekben nem észleltek közvetlen vagy közvetett káros hatást a reproduktív toxicitás vonatkozásában a klinikailag releváns terápiás expozíció alkalmával. Elővigyázatossági intézkedésként célszerű kerülni a betahisztin alkalmazását a terhesség során.</w:t>
      </w:r>
    </w:p>
    <w:p w:rsidR="004C0022" w:rsidRDefault="004C0022">
      <w:pPr>
        <w:contextualSpacing/>
        <w:rPr>
          <w:sz w:val="22"/>
          <w:szCs w:val="22"/>
          <w:u w:val="single"/>
          <w:lang w:val="hu-HU"/>
        </w:rPr>
      </w:pPr>
    </w:p>
    <w:p w:rsidR="004C0022" w:rsidRDefault="004E4EC7">
      <w:pPr>
        <w:contextualSpacing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Szoptatás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Nem ismert, hogy a betahisztin kiválasztódik-e az anyatejbe. A betahisztin kiválasztódott a patkánytejbe. Állatkísérletekben az ellést követően csak nagyon nagy dózisok esetén észleltek hatásokat. Szoptatás esetén a gyógyszernek az anya számára való fontosságát kell összevetni a szoptatás előnyeivel és a csecsemőre nézve jelentkező potenciális kockázattal.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Termékenység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Állatkísérletek során nem észleltek hatásokat a patkányok termékenységére vonatkozóan.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ind w:left="567" w:hanging="567"/>
        <w:contextualSpacing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4.7</w:t>
      </w:r>
      <w:r>
        <w:rPr>
          <w:b/>
          <w:bCs/>
          <w:sz w:val="22"/>
          <w:szCs w:val="22"/>
          <w:lang w:val="hu-HU"/>
        </w:rPr>
        <w:tab/>
        <w:t>A készítmény hatásai a gépjárművezetéshez és a gépek kezeléséhez szükséges képességekre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betahisztin indikációi a Ménière-szindróma, valamint a vestibularis vertigo tüneti kezelése. Mindkét betegség negatívan befolyásolhatja a gépjárművezetéshez és a gépek kezeléséhez szükséges képességeket. A betahisztinnek specifikusan ezen képességekre való hatását tanulmányozó klinikai vizsgálatok szerint a betahisztin nem vagy csak elhanyagolható mértékben befolyásolja a gépjárművezetéshez és gépek kezeléséhez szükséges fenti képességeket.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ind w:left="567" w:hanging="567"/>
        <w:contextualSpacing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4.8</w:t>
      </w:r>
      <w:r>
        <w:rPr>
          <w:b/>
          <w:bCs/>
          <w:sz w:val="22"/>
          <w:szCs w:val="22"/>
          <w:lang w:val="hu-HU"/>
        </w:rPr>
        <w:tab/>
        <w:t>Nemkívánatos hatások, mellékhatások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betahisztinnel kezelt betegeknél placebo-kontrollált vizsgálatok során a következő mellékhatásokat figyelték meg az alábbi előfordulási gyakoriságokkal: nagyon gyakori (≥1/10), gyakori (≥1/100 </w:t>
      </w:r>
      <w:r>
        <w:rPr>
          <w:sz w:val="22"/>
          <w:szCs w:val="22"/>
          <w:lang w:val="hu-HU"/>
        </w:rPr>
        <w:noBreakHyphen/>
        <w:t xml:space="preserve"> &lt;1/10), nem gyakori (≥1/1000 </w:t>
      </w:r>
      <w:r>
        <w:rPr>
          <w:sz w:val="22"/>
          <w:szCs w:val="22"/>
          <w:lang w:val="hu-HU"/>
        </w:rPr>
        <w:noBreakHyphen/>
        <w:t xml:space="preserve"> &lt;1/100), ritka (≥1/10 000 </w:t>
      </w:r>
      <w:r>
        <w:rPr>
          <w:sz w:val="22"/>
          <w:szCs w:val="22"/>
          <w:lang w:val="hu-HU"/>
        </w:rPr>
        <w:noBreakHyphen/>
        <w:t xml:space="preserve"> &lt;1/1000), nagyon ritka (&lt;1/10000).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Emésztőrendszeri betegségek és tünetek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Gyakori: hányinger és dyspepsia. 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u w:val="single"/>
          <w:lang w:val="hu-HU"/>
        </w:rPr>
        <w:t>Idegrendszeri betegségek és tünetek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Gyakori: fejfájás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klinikai vizsgálatok során jelentett eseteken túl a következő mellékhatások fordultak elő a posztmarketing használat során kapott spontán jelentésekben, illetve a szakirodalomban. A rendelkezésre álló adatokból az előfordulás gyakorisága nem becsülhető meg, így annak besorolása: nem ismert.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Immunrendszeri betegségek és tünetek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Túlérzékenységi reakciókat, pl. anafilaxiát jelentettek.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Emésztőrendszeri betegségek és tünetek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Enyhe gyomorpanaszokat (például hányás, gasztrointesztinális fájdalom, alhasi feszülés, puffadás) is észleltek. Ezek általában kezelhetők a gyógyszer étkezés közben történő bevételével vagy az adag csökkentésével.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pStyle w:val="Cmsor6"/>
        <w:ind w:firstLine="0"/>
        <w:contextualSpacing/>
        <w:rPr>
          <w:color w:val="000000"/>
        </w:rPr>
      </w:pPr>
      <w:r>
        <w:rPr>
          <w:color w:val="000000"/>
        </w:rPr>
        <w:t>A bőr és a bőr alatti szövet betegségei és tünetei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Beszámoltak a bőr és a bőr alatti szövet túlérzékenységi reakcióiról is, főként angioneurotikus ödémát, csalánkiütést, bőrkiütést és pruritust észleltek.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Feltételezett mellékhatások bejelentése</w:t>
      </w:r>
    </w:p>
    <w:p w:rsidR="004C0022" w:rsidRDefault="004E4EC7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:rsidR="004C0022" w:rsidRDefault="004E4EC7">
      <w:pPr>
        <w:tabs>
          <w:tab w:val="num" w:pos="540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egészségügyi szakembereket kérjük, hogy jelentsék be a feltételezett mellékhatásokat a hatóság részére az </w:t>
      </w:r>
      <w:hyperlink r:id="rId7" w:history="1">
        <w:r>
          <w:rPr>
            <w:rStyle w:val="Hiperhivatkozs"/>
            <w:sz w:val="22"/>
            <w:szCs w:val="22"/>
            <w:highlight w:val="lightGray"/>
            <w:lang w:val="hu-HU"/>
          </w:rPr>
          <w:t>V. füg</w:t>
        </w:r>
        <w:bookmarkStart w:id="0" w:name="_Hlt352075914"/>
        <w:bookmarkStart w:id="1" w:name="_Hlt352075915"/>
        <w:r>
          <w:rPr>
            <w:rStyle w:val="Hiperhivatkozs"/>
            <w:sz w:val="22"/>
            <w:szCs w:val="22"/>
            <w:highlight w:val="lightGray"/>
            <w:lang w:val="hu-HU"/>
          </w:rPr>
          <w:t>g</w:t>
        </w:r>
        <w:bookmarkEnd w:id="0"/>
        <w:bookmarkEnd w:id="1"/>
        <w:r>
          <w:rPr>
            <w:rStyle w:val="Hiperhivatkozs"/>
            <w:sz w:val="22"/>
            <w:szCs w:val="22"/>
            <w:highlight w:val="lightGray"/>
            <w:lang w:val="hu-HU"/>
          </w:rPr>
          <w:t>elékben</w:t>
        </w:r>
      </w:hyperlink>
      <w:r>
        <w:rPr>
          <w:sz w:val="22"/>
          <w:szCs w:val="22"/>
          <w:highlight w:val="lightGray"/>
          <w:lang w:val="hu-HU"/>
        </w:rPr>
        <w:t xml:space="preserve"> található elérhetőségek valamelyikén keresztül</w:t>
      </w:r>
      <w:r>
        <w:rPr>
          <w:sz w:val="22"/>
          <w:szCs w:val="22"/>
          <w:lang w:val="hu-HU"/>
        </w:rPr>
        <w:t>.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ind w:left="567" w:hanging="567"/>
        <w:contextualSpacing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4.9</w:t>
      </w:r>
      <w:r>
        <w:rPr>
          <w:b/>
          <w:bCs/>
          <w:sz w:val="22"/>
          <w:szCs w:val="22"/>
          <w:lang w:val="hu-HU"/>
        </w:rPr>
        <w:tab/>
        <w:t>Túladagolás</w:t>
      </w:r>
    </w:p>
    <w:p w:rsidR="004C0022" w:rsidRDefault="004C0022">
      <w:pPr>
        <w:pStyle w:val="Szvegtrzsbehzssal"/>
        <w:ind w:left="0"/>
        <w:contextualSpacing/>
        <w:rPr>
          <w:sz w:val="22"/>
          <w:szCs w:val="22"/>
        </w:rPr>
      </w:pPr>
    </w:p>
    <w:p w:rsidR="004C0022" w:rsidRDefault="004E4EC7">
      <w:pPr>
        <w:pStyle w:val="Szvegtrzsbehzssal"/>
        <w:ind w:left="0"/>
        <w:contextualSpacing/>
        <w:rPr>
          <w:sz w:val="22"/>
          <w:szCs w:val="22"/>
        </w:rPr>
      </w:pPr>
      <w:r>
        <w:rPr>
          <w:sz w:val="22"/>
          <w:szCs w:val="22"/>
        </w:rPr>
        <w:t>Csak kisszámú túladagolási esetet jelentettek. Mindössze néhány beteg észlelt 640 mg-os adagig terjedő túladagolás esetén enyhe, ill. középsúlyos tüneteket (pl. hányinger, aluszékonyság, hasi fájdalom). Súlyosabb szövődmények (pl. konvulzió, pulmonális vagy kardiális szövődmények) a betahisztin szándékos túladagolását követték, különösen olyan esetben, ha ez egyéb gyógyszerek túladagolásával együtt történt. A túladagolás kezelése standard támogató beavatkozásokkal történik.</w:t>
      </w:r>
    </w:p>
    <w:p w:rsidR="004C0022" w:rsidRDefault="004C0022">
      <w:pPr>
        <w:contextualSpacing/>
        <w:rPr>
          <w:b/>
          <w:bCs/>
          <w:sz w:val="22"/>
          <w:szCs w:val="22"/>
          <w:lang w:val="hu-HU"/>
        </w:rPr>
      </w:pPr>
    </w:p>
    <w:p w:rsidR="004C0022" w:rsidRDefault="004C0022">
      <w:pPr>
        <w:contextualSpacing/>
        <w:rPr>
          <w:b/>
          <w:bCs/>
          <w:sz w:val="22"/>
          <w:szCs w:val="22"/>
          <w:lang w:val="hu-HU"/>
        </w:rPr>
      </w:pPr>
    </w:p>
    <w:p w:rsidR="004C0022" w:rsidRDefault="004E4EC7">
      <w:pPr>
        <w:ind w:left="567" w:hanging="567"/>
        <w:contextualSpacing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5.</w:t>
      </w:r>
      <w:r>
        <w:rPr>
          <w:b/>
          <w:bCs/>
          <w:sz w:val="22"/>
          <w:szCs w:val="22"/>
          <w:lang w:val="hu-HU"/>
        </w:rPr>
        <w:tab/>
        <w:t>FARMAKOLÓGIAI TULAJDONSÁGOK</w:t>
      </w:r>
    </w:p>
    <w:p w:rsidR="004C0022" w:rsidRDefault="004C0022">
      <w:pPr>
        <w:contextualSpacing/>
        <w:rPr>
          <w:b/>
          <w:bCs/>
          <w:sz w:val="22"/>
          <w:szCs w:val="22"/>
          <w:lang w:val="hu-HU"/>
        </w:rPr>
      </w:pPr>
    </w:p>
    <w:p w:rsidR="004C0022" w:rsidRDefault="004E4EC7">
      <w:pPr>
        <w:ind w:left="567" w:hanging="567"/>
        <w:contextualSpacing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5.1</w:t>
      </w:r>
      <w:r>
        <w:rPr>
          <w:b/>
          <w:bCs/>
          <w:sz w:val="22"/>
          <w:szCs w:val="22"/>
          <w:lang w:val="hu-HU"/>
        </w:rPr>
        <w:tab/>
        <w:t xml:space="preserve">Farmakodinámiás tulajdonságok </w:t>
      </w:r>
    </w:p>
    <w:p w:rsidR="004C0022" w:rsidRDefault="004C0022">
      <w:pPr>
        <w:contextualSpacing/>
        <w:rPr>
          <w:b/>
          <w:bCs/>
          <w:sz w:val="22"/>
          <w:szCs w:val="22"/>
          <w:lang w:val="hu-HU"/>
        </w:rPr>
      </w:pPr>
    </w:p>
    <w:p w:rsidR="004C0022" w:rsidRDefault="004E4EC7">
      <w:pPr>
        <w:pStyle w:val="Cmsor1"/>
        <w:contextualSpacing/>
        <w:rPr>
          <w:sz w:val="22"/>
          <w:szCs w:val="22"/>
        </w:rPr>
      </w:pPr>
      <w:r>
        <w:rPr>
          <w:sz w:val="22"/>
          <w:szCs w:val="22"/>
        </w:rPr>
        <w:t>Farmakoterápiás csoport: Szédülés elleni készítmények, ATC kód: N07C A01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pStyle w:val="Szvegtrzsbehzssal"/>
        <w:ind w:left="0"/>
        <w:contextualSpacing/>
        <w:rPr>
          <w:sz w:val="22"/>
          <w:szCs w:val="22"/>
        </w:rPr>
      </w:pPr>
      <w:r>
        <w:rPr>
          <w:sz w:val="22"/>
          <w:szCs w:val="22"/>
        </w:rPr>
        <w:t>A betahisztin hatásmechanizmusa csak részben tisztázott. Létezik több valószínű hipotézis is, amelyet mind az állatkísérletek, mind a humán adatok alátámasztanak.</w:t>
      </w:r>
    </w:p>
    <w:p w:rsidR="004C0022" w:rsidRDefault="004C0022">
      <w:pPr>
        <w:pStyle w:val="Szvegtrzsbehzssal"/>
        <w:ind w:left="0"/>
        <w:contextualSpacing/>
        <w:rPr>
          <w:sz w:val="22"/>
          <w:szCs w:val="22"/>
        </w:rPr>
      </w:pPr>
    </w:p>
    <w:p w:rsidR="004C0022" w:rsidRDefault="004E4EC7">
      <w:pPr>
        <w:pStyle w:val="Szvegtrzsbehzssal"/>
        <w:ind w:left="0"/>
        <w:contextualSpacing/>
        <w:rPr>
          <w:sz w:val="22"/>
          <w:szCs w:val="22"/>
        </w:rPr>
      </w:pPr>
      <w:r>
        <w:rPr>
          <w:sz w:val="22"/>
          <w:szCs w:val="22"/>
          <w:u w:val="single"/>
        </w:rPr>
        <w:t>A betahisztin hatással van a hisztaminerg rendszerre:</w:t>
      </w:r>
    </w:p>
    <w:p w:rsidR="004C0022" w:rsidRDefault="004E4EC7">
      <w:pPr>
        <w:pStyle w:val="Szvegtrzsbehzssal"/>
        <w:ind w:left="0"/>
        <w:contextualSpacing/>
        <w:rPr>
          <w:sz w:val="22"/>
          <w:szCs w:val="22"/>
        </w:rPr>
      </w:pPr>
      <w:r>
        <w:rPr>
          <w:sz w:val="22"/>
          <w:szCs w:val="22"/>
        </w:rPr>
        <w:t>A betahisztin részleges hisztamin-H</w:t>
      </w:r>
      <w:r>
        <w:rPr>
          <w:sz w:val="22"/>
          <w:szCs w:val="22"/>
          <w:vertAlign w:val="subscript"/>
        </w:rPr>
        <w:t>1</w:t>
      </w:r>
      <w:r>
        <w:rPr>
          <w:sz w:val="22"/>
          <w:szCs w:val="22"/>
        </w:rPr>
        <w:t>-receptor-agonistaként és hisztamin-H</w:t>
      </w:r>
      <w:r>
        <w:rPr>
          <w:sz w:val="22"/>
          <w:szCs w:val="22"/>
          <w:vertAlign w:val="subscript"/>
        </w:rPr>
        <w:t>3</w:t>
      </w:r>
      <w:r>
        <w:rPr>
          <w:sz w:val="22"/>
          <w:szCs w:val="22"/>
        </w:rPr>
        <w:t>-receptor-antagonistaként működik az idegszövetben is, H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>-receptor-aktivitása elhanyagolható. A betahisztin a preszinaptikus H</w:t>
      </w:r>
      <w:r>
        <w:rPr>
          <w:sz w:val="22"/>
          <w:szCs w:val="22"/>
          <w:vertAlign w:val="subscript"/>
        </w:rPr>
        <w:t>3</w:t>
      </w:r>
      <w:r>
        <w:rPr>
          <w:sz w:val="22"/>
          <w:szCs w:val="22"/>
        </w:rPr>
        <w:t>-receptorok gátlása és a H</w:t>
      </w:r>
      <w:r>
        <w:rPr>
          <w:sz w:val="22"/>
          <w:szCs w:val="22"/>
          <w:vertAlign w:val="subscript"/>
        </w:rPr>
        <w:t>3</w:t>
      </w:r>
      <w:r>
        <w:rPr>
          <w:sz w:val="22"/>
          <w:szCs w:val="22"/>
        </w:rPr>
        <w:t>-receptorok downregulációjának indukálása révén növeli a hisztaminforgalmat és a hisztaminfelszabadulást.</w:t>
      </w:r>
    </w:p>
    <w:p w:rsidR="004C0022" w:rsidRDefault="004C0022">
      <w:pPr>
        <w:pStyle w:val="Szvegtrzsbehzssal"/>
        <w:ind w:left="0"/>
        <w:contextualSpacing/>
        <w:rPr>
          <w:sz w:val="22"/>
          <w:szCs w:val="22"/>
        </w:rPr>
      </w:pPr>
    </w:p>
    <w:p w:rsidR="004C0022" w:rsidRDefault="004E4EC7">
      <w:pPr>
        <w:pStyle w:val="Szvegtrzsbehzssal"/>
        <w:ind w:left="0"/>
        <w:contextualSpacing/>
        <w:rPr>
          <w:sz w:val="22"/>
          <w:szCs w:val="22"/>
        </w:rPr>
      </w:pPr>
      <w:r>
        <w:rPr>
          <w:sz w:val="22"/>
          <w:szCs w:val="22"/>
          <w:u w:val="single"/>
        </w:rPr>
        <w:t>A betahisztin valószínűleg fokozza a cochlearis területek felé történő véráramlást, valamint az egész agy véráramlását:</w:t>
      </w:r>
    </w:p>
    <w:p w:rsidR="004C0022" w:rsidRDefault="004E4EC7">
      <w:pPr>
        <w:pStyle w:val="Szvegtrzsbehzssal"/>
        <w:ind w:left="0"/>
        <w:contextualSpacing/>
        <w:rPr>
          <w:sz w:val="22"/>
          <w:szCs w:val="22"/>
        </w:rPr>
      </w:pPr>
      <w:r>
        <w:rPr>
          <w:sz w:val="22"/>
          <w:szCs w:val="22"/>
        </w:rPr>
        <w:t>Farmakológiai állatkísérletek kimutatták, hogy javítja a belső fülben a stria vascularis keringését, valószínűleg a belső fül mikrocirkulációjában részt vevő praecapillaris sphincterek ellazítása révén.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Kimutatták továbbá, hogy a betahisztin fokozza emberben a cerebrális vérkeringést.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u w:val="single"/>
          <w:lang w:val="hu-HU"/>
        </w:rPr>
        <w:t>A betahisztin elősegíti a vestibularis kompenzációt: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betahisztin állatokban egyoldali neurectomia után gyorsítja a vestibularis regenerálódást a centrális vestibularis kompenzáció elősegítése révén; ezt a hatást a hisztaminforgalom és a hisztaminfelszabadulás upregulációja jellemzi és a H</w:t>
      </w:r>
      <w:r>
        <w:rPr>
          <w:sz w:val="22"/>
          <w:szCs w:val="22"/>
          <w:vertAlign w:val="subscript"/>
          <w:lang w:val="hu-HU"/>
        </w:rPr>
        <w:t>3</w:t>
      </w:r>
      <w:r>
        <w:rPr>
          <w:sz w:val="22"/>
          <w:szCs w:val="22"/>
          <w:lang w:val="hu-HU"/>
        </w:rPr>
        <w:t>-receptor-antagonizmus közvetíti. Vestibularis neurectomia után emberben is csökkent a regenerálódáshoz szükséges idő betahisztinnel történő kezelés mellett.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u w:val="single"/>
          <w:lang w:val="hu-HU"/>
        </w:rPr>
        <w:t>A betahisztin megváltoztatja a vestibularis magvakban a neuronok tüzelését: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betahisztin adagfüggően gátolja a neuronok spike-generáló aktivitását a lateralis és medialis vestibularis magvakban. 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Az állatkísérletekben igazolt farmakodinámiás jellemzők válthatják ki a betahisztinnek a vestibularis rendszerre gyakorolt pozitív terápiás hatását.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betahisztin hatásosságát bizonyították vestibularis vertigóban, valamint Ménière-betegségben szenvedő betegek bevonásával végzett vizsgálatokban: javulás következett be a vertigórohamok súlyosságában és gyakoriságában egyaránt.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ind w:left="567" w:hanging="567"/>
        <w:contextualSpacing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5.2</w:t>
      </w:r>
      <w:r>
        <w:rPr>
          <w:b/>
          <w:bCs/>
          <w:sz w:val="22"/>
          <w:szCs w:val="22"/>
          <w:lang w:val="hu-HU"/>
        </w:rPr>
        <w:tab/>
        <w:t>Farmakokinetikai tulajdonságok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Felszívódás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per os alkalmazott betahisztin csaknem teljes mértékben felszívódik a gasztrointesztinális traktus bármely részéből. Felszívódás után a gyógyszer gyorsan és csaknem teljes mértékben 2-PAA-vá (2-piridil-ecetsavvá) metabolizálódik. A betahisztin plazmaszintje nagyon alacsony. Éppen ezért minden farmakokinetikai vizsgálat alapja a 2-PAA szintjének mérése a plazmában és a vizeletben.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Étkezés utáni bevétel esetén a C</w:t>
      </w:r>
      <w:r>
        <w:rPr>
          <w:sz w:val="22"/>
          <w:szCs w:val="22"/>
          <w:vertAlign w:val="subscript"/>
          <w:lang w:val="hu-HU"/>
        </w:rPr>
        <w:t>max</w:t>
      </w:r>
      <w:r>
        <w:rPr>
          <w:sz w:val="22"/>
          <w:szCs w:val="22"/>
          <w:lang w:val="hu-HU"/>
        </w:rPr>
        <w:t xml:space="preserve"> alacsonyabb, mint éhgyomorra történő alkalmazáskor. A betahisztin teljes felszívódása azonban hasonló a két esetben. Ez azt mutatja, hogy a táplálékbevitel csupán lelassítja a betahisztin felszívódását.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Eloszlás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betahisztinnek kevesebb, mint 5%-a kötődik a plazmafehérjékhez.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Biotranszformáció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Felszívódás után a betahisztin gyorsan és csaknem teljes mértékben 2-PAA-vá  metabolizálódik, (amelynek nincs farmakológiai hatása). 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betahisztin per os alkalmazását követően a 2-PAA plazmakoncentrációja (és vizeletben mért koncentrációja) a maximumot egy órával a bevétel után éri el, majd csökken, féléletideje körübelül 3,5 óra. 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Elimináció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2-PAA rögtön ki is ürül a vizelettel. 8 és 48 mg közötti dózistartományban az eredeti adagnak mintegy 85%-a fellelhető a vizeletben. Magának a betahisztinnek a vesén át vagy széklettel történő kiürülése csekély jelentőségű. 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Linearitás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Orális alkalmazás során 8 és 48 mg közötti dózistartományban a kiürülési arány állandó, ami azt jelzi, hogy a betahisztin farmakokinetikája lineáris, továbbá hogy a metabolizmusában részt vevő útvonal nem telített.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ind w:left="567" w:hanging="567"/>
        <w:contextualSpacing/>
        <w:rPr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5.3</w:t>
      </w:r>
      <w:r>
        <w:rPr>
          <w:b/>
          <w:bCs/>
          <w:sz w:val="22"/>
          <w:szCs w:val="22"/>
          <w:lang w:val="hu-HU"/>
        </w:rPr>
        <w:tab/>
        <w:t>A preklinikai biztonságossági vizsgálatok eredményei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Krónikus toxicitás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Idegrendszeri mellékhatásokat észleltek kutyák és majmok esetében intravénásan alkalmazott 120 mg/ttkg és ennél nagyobb adagok után.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Patkányokon 18 hónapon át 500 mg/ttkg dózissal, illetve kutyákon 6 hónapon át 25 mg/ttkg dózissal folytatott krónikus toxicitási vizsgálatok azt mutatták, hogy a betahisztin jól tolerálható, határozott toxicitást nem mutató hatóanyag.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Mutagén és karcinogén potenciál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betahisztin nem mutagén hatású.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Egy patkányokon 18 hónapon át, legfeljebb 500 mg/ttkg betahisztin dózissal végzett krónikus toxicitási vizsgálat nem mutatott bizonyítékot a karcinogén potenciálra.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Reprodukciós toxicitás</w:t>
      </w: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reprodukciós toxicitási vizsgálatokban hatásokat csak olyan expozíciók esetén észleltek, amelyek kellően meghaladják a legnagyobb humán expozíciót, így azok a klinikai alkalmazás szempontjából csekély relevanciával rendelkeznek.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ind w:left="567" w:hanging="567"/>
        <w:contextualSpacing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6.</w:t>
      </w:r>
      <w:r>
        <w:rPr>
          <w:b/>
          <w:bCs/>
          <w:sz w:val="22"/>
          <w:szCs w:val="22"/>
          <w:lang w:val="hu-HU"/>
        </w:rPr>
        <w:tab/>
        <w:t>GYÓGYSZERÉSZETI JELLEMZŐK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numPr>
          <w:ilvl w:val="1"/>
          <w:numId w:val="3"/>
        </w:numPr>
        <w:tabs>
          <w:tab w:val="clear" w:pos="720"/>
        </w:tabs>
        <w:ind w:left="567" w:hanging="567"/>
        <w:contextualSpacing/>
        <w:rPr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Segédanyagok felsorolása</w:t>
      </w:r>
    </w:p>
    <w:p w:rsidR="004C0022" w:rsidRDefault="004C0022">
      <w:pPr>
        <w:pStyle w:val="Szvegtrzsbehzssal"/>
        <w:ind w:left="0"/>
        <w:contextualSpacing/>
        <w:rPr>
          <w:sz w:val="22"/>
          <w:szCs w:val="22"/>
        </w:rPr>
      </w:pP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Vízmentes kolloid szilícium-dioxid, citromsav-monohidrát, talkum, mannit E421, mikrokristályos cellulóz, L-cisztein-hidroklorid-monohidrát, propil-gallát</w:t>
      </w:r>
    </w:p>
    <w:p w:rsidR="004C0022" w:rsidRDefault="004C0022">
      <w:pPr>
        <w:contextualSpacing/>
        <w:rPr>
          <w:strike/>
          <w:sz w:val="22"/>
          <w:szCs w:val="22"/>
          <w:lang w:val="hu-HU"/>
        </w:rPr>
      </w:pPr>
    </w:p>
    <w:p w:rsidR="004C0022" w:rsidRDefault="004E4EC7">
      <w:pPr>
        <w:ind w:left="567" w:hanging="567"/>
        <w:contextualSpacing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6.2</w:t>
      </w:r>
      <w:r>
        <w:rPr>
          <w:b/>
          <w:bCs/>
          <w:sz w:val="22"/>
          <w:szCs w:val="22"/>
          <w:lang w:val="hu-HU"/>
        </w:rPr>
        <w:tab/>
        <w:t>Inkompatibilitások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Nem értelmezhető.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ind w:left="567" w:hanging="567"/>
        <w:contextualSpacing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6.3</w:t>
      </w:r>
      <w:r>
        <w:rPr>
          <w:b/>
          <w:bCs/>
          <w:sz w:val="22"/>
          <w:szCs w:val="22"/>
          <w:lang w:val="hu-HU"/>
        </w:rPr>
        <w:tab/>
        <w:t>Felhasználhatósági időtartam</w:t>
      </w:r>
    </w:p>
    <w:p w:rsidR="004C0022" w:rsidRDefault="004C0022">
      <w:pPr>
        <w:pStyle w:val="Szvegtrzsbehzssal"/>
        <w:ind w:left="0"/>
        <w:contextualSpacing/>
        <w:rPr>
          <w:sz w:val="22"/>
          <w:szCs w:val="22"/>
        </w:rPr>
      </w:pPr>
    </w:p>
    <w:p w:rsidR="004C0022" w:rsidRDefault="004E4EC7">
      <w:pPr>
        <w:pStyle w:val="Szvegtrzsbehzssal"/>
        <w:ind w:left="0"/>
        <w:contextualSpacing/>
        <w:rPr>
          <w:sz w:val="22"/>
          <w:szCs w:val="22"/>
        </w:rPr>
      </w:pPr>
      <w:r>
        <w:rPr>
          <w:sz w:val="22"/>
          <w:szCs w:val="22"/>
        </w:rPr>
        <w:t>3 év.</w:t>
      </w:r>
    </w:p>
    <w:p w:rsidR="004C0022" w:rsidRDefault="004C0022">
      <w:pPr>
        <w:contextualSpacing/>
        <w:rPr>
          <w:b/>
          <w:bCs/>
          <w:sz w:val="22"/>
          <w:szCs w:val="22"/>
          <w:lang w:val="hu-HU"/>
        </w:rPr>
      </w:pPr>
    </w:p>
    <w:p w:rsidR="004C0022" w:rsidRDefault="004E4EC7">
      <w:pPr>
        <w:ind w:left="567" w:hanging="567"/>
        <w:contextualSpacing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6.4</w:t>
      </w:r>
      <w:r>
        <w:rPr>
          <w:b/>
          <w:bCs/>
          <w:sz w:val="22"/>
          <w:szCs w:val="22"/>
          <w:lang w:val="hu-HU"/>
        </w:rPr>
        <w:tab/>
        <w:t>Különleges tárolási előírások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tabs>
          <w:tab w:val="num" w:pos="540"/>
        </w:tabs>
        <w:rPr>
          <w:lang w:val="hu-HU"/>
        </w:rPr>
      </w:pPr>
      <w:r>
        <w:rPr>
          <w:sz w:val="22"/>
          <w:szCs w:val="22"/>
          <w:lang w:val="hu-HU"/>
        </w:rPr>
        <w:t>Ez a gyógyszer nem igényel különleges tárolást.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ind w:left="567" w:hanging="567"/>
        <w:contextualSpacing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6.5</w:t>
      </w:r>
      <w:r>
        <w:rPr>
          <w:b/>
          <w:bCs/>
          <w:sz w:val="22"/>
          <w:szCs w:val="22"/>
          <w:lang w:val="hu-HU"/>
        </w:rPr>
        <w:tab/>
        <w:t>Csomagolás típusa és kiszerelése</w:t>
      </w:r>
    </w:p>
    <w:p w:rsidR="004C0022" w:rsidRDefault="004C0022">
      <w:pPr>
        <w:contextualSpacing/>
        <w:rPr>
          <w:i/>
          <w:sz w:val="22"/>
          <w:szCs w:val="22"/>
          <w:lang w:val="hu-HU"/>
        </w:rPr>
      </w:pPr>
    </w:p>
    <w:p w:rsidR="004C0022" w:rsidRDefault="004E4EC7">
      <w:pPr>
        <w:pStyle w:val="Szvegtrzsbehzssal"/>
        <w:ind w:left="0"/>
        <w:contextualSpacing/>
        <w:rPr>
          <w:sz w:val="22"/>
          <w:szCs w:val="22"/>
        </w:rPr>
      </w:pPr>
      <w:r>
        <w:rPr>
          <w:sz w:val="22"/>
          <w:szCs w:val="22"/>
          <w:u w:val="single"/>
        </w:rPr>
        <w:t>Betaserc 8 mg tabletta:</w:t>
      </w:r>
      <w:r>
        <w:rPr>
          <w:sz w:val="22"/>
          <w:szCs w:val="22"/>
        </w:rPr>
        <w:t xml:space="preserve"> 100 db tabletta átlátszó PVC/PVDC//Al buborékcsomagolásban és dobozban.</w:t>
      </w:r>
    </w:p>
    <w:p w:rsidR="004C0022" w:rsidRDefault="004E4EC7">
      <w:pPr>
        <w:ind w:right="-2"/>
        <w:contextualSpacing/>
        <w:rPr>
          <w:sz w:val="22"/>
          <w:szCs w:val="22"/>
          <w:lang w:val="hu-HU"/>
        </w:rPr>
      </w:pPr>
      <w:r>
        <w:rPr>
          <w:sz w:val="22"/>
          <w:szCs w:val="22"/>
          <w:u w:val="single"/>
          <w:lang w:val="hu-HU"/>
        </w:rPr>
        <w:t xml:space="preserve">Betaserc 16 mg tabletta: </w:t>
      </w:r>
      <w:r>
        <w:rPr>
          <w:sz w:val="22"/>
          <w:szCs w:val="22"/>
          <w:lang w:val="hu-HU"/>
        </w:rPr>
        <w:t>60 db tabletta átlátszó PVC/PVDC//Al buborékcsomagolásban és dobozban.</w:t>
      </w:r>
    </w:p>
    <w:p w:rsidR="004C0022" w:rsidRDefault="004E4EC7">
      <w:pPr>
        <w:ind w:right="-2"/>
        <w:contextualSpacing/>
        <w:rPr>
          <w:sz w:val="22"/>
          <w:szCs w:val="22"/>
          <w:lang w:val="hu-HU"/>
        </w:rPr>
      </w:pPr>
      <w:r>
        <w:rPr>
          <w:sz w:val="22"/>
          <w:szCs w:val="22"/>
          <w:u w:val="single"/>
          <w:lang w:val="hu-HU"/>
        </w:rPr>
        <w:t xml:space="preserve">Betaserc 24 mg tabletta: </w:t>
      </w:r>
      <w:r>
        <w:rPr>
          <w:sz w:val="22"/>
          <w:szCs w:val="22"/>
          <w:lang w:val="hu-HU"/>
        </w:rPr>
        <w:t>50 db tabletta átlátszó PVC/PVDC//Al buborékcsomagolásban és dobozban.</w:t>
      </w:r>
    </w:p>
    <w:p w:rsidR="004C0022" w:rsidRDefault="004C0022">
      <w:pPr>
        <w:pStyle w:val="Szvegtrzsbehzssal"/>
        <w:ind w:left="0"/>
        <w:contextualSpacing/>
        <w:rPr>
          <w:sz w:val="22"/>
          <w:szCs w:val="22"/>
        </w:rPr>
      </w:pPr>
    </w:p>
    <w:p w:rsidR="004C0022" w:rsidRDefault="004E4EC7">
      <w:pPr>
        <w:ind w:left="567" w:hanging="567"/>
        <w:contextualSpacing/>
        <w:rPr>
          <w:b/>
          <w:bCs/>
          <w:noProof/>
          <w:sz w:val="22"/>
          <w:szCs w:val="22"/>
          <w:lang w:val="hu-HU"/>
        </w:rPr>
      </w:pPr>
      <w:r>
        <w:rPr>
          <w:b/>
          <w:bCs/>
          <w:noProof/>
          <w:sz w:val="22"/>
          <w:szCs w:val="22"/>
          <w:lang w:val="hu-HU"/>
        </w:rPr>
        <w:t>6.6</w:t>
      </w:r>
      <w:r>
        <w:rPr>
          <w:b/>
          <w:bCs/>
          <w:noProof/>
          <w:sz w:val="22"/>
          <w:szCs w:val="22"/>
          <w:lang w:val="hu-HU"/>
        </w:rPr>
        <w:tab/>
        <w:t>A megsemmisítésre vonatkozó különleges óvintézkedések</w:t>
      </w:r>
      <w:r>
        <w:rPr>
          <w:b/>
          <w:bCs/>
          <w:sz w:val="22"/>
          <w:szCs w:val="22"/>
          <w:lang w:val="hu-HU"/>
        </w:rPr>
        <w:t xml:space="preserve"> </w:t>
      </w:r>
      <w:r>
        <w:rPr>
          <w:b/>
          <w:bCs/>
          <w:noProof/>
          <w:sz w:val="22"/>
          <w:szCs w:val="22"/>
          <w:lang w:val="hu-HU"/>
        </w:rPr>
        <w:t>és egyéb, a készítmény kezelésével kapcsolatos információk</w:t>
      </w:r>
    </w:p>
    <w:p w:rsidR="004C0022" w:rsidRDefault="004C0022">
      <w:pPr>
        <w:contextualSpacing/>
        <w:rPr>
          <w:b/>
          <w:bCs/>
          <w:sz w:val="22"/>
          <w:szCs w:val="22"/>
          <w:lang w:val="hu-HU"/>
        </w:rPr>
      </w:pPr>
    </w:p>
    <w:p w:rsidR="004C0022" w:rsidRDefault="004E4EC7">
      <w:pPr>
        <w:pStyle w:val="Szvegtrzsbehzssal"/>
        <w:ind w:left="0"/>
        <w:contextualSpacing/>
        <w:rPr>
          <w:sz w:val="22"/>
          <w:szCs w:val="22"/>
        </w:rPr>
      </w:pPr>
      <w:r>
        <w:rPr>
          <w:noProof/>
          <w:sz w:val="22"/>
          <w:szCs w:val="22"/>
        </w:rPr>
        <w:t>Bármilyen fel nem használt készítmény, illetve hulladékanyag megsemmisítését a gyógyszerekre vonatkozó előírások szerint kell végrehajtani</w:t>
      </w:r>
      <w:r>
        <w:rPr>
          <w:sz w:val="22"/>
          <w:szCs w:val="22"/>
        </w:rPr>
        <w:t>.</w:t>
      </w:r>
    </w:p>
    <w:p w:rsidR="004C0022" w:rsidRDefault="004C0022">
      <w:pPr>
        <w:pStyle w:val="Szvegtrzsbehzssal"/>
        <w:ind w:left="0"/>
        <w:contextualSpacing/>
        <w:rPr>
          <w:b/>
          <w:bCs/>
          <w:sz w:val="22"/>
          <w:szCs w:val="22"/>
        </w:rPr>
      </w:pPr>
    </w:p>
    <w:p w:rsidR="004C0022" w:rsidRDefault="004E4EC7">
      <w:pPr>
        <w:pStyle w:val="Szvegtrzsbehzssal"/>
        <w:ind w:left="0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Megjegyzés: </w:t>
      </w:r>
      <w:r>
        <w:rPr>
          <w:rFonts w:ascii="Wingdings" w:eastAsia="Wingdings" w:hAnsi="Wingdings" w:cs="Wingdings"/>
          <w:sz w:val="22"/>
          <w:szCs w:val="22"/>
        </w:rPr>
        <w:t></w:t>
      </w:r>
      <w:r>
        <w:rPr>
          <w:sz w:val="22"/>
          <w:szCs w:val="22"/>
        </w:rPr>
        <w:t xml:space="preserve"> (egy keresztes)</w:t>
      </w:r>
    </w:p>
    <w:p w:rsidR="004C0022" w:rsidRDefault="004E4EC7">
      <w:pPr>
        <w:pStyle w:val="Cmsor2"/>
        <w:ind w:left="0"/>
        <w:contextualSpacing/>
        <w:rPr>
          <w:b w:val="0"/>
          <w:bCs w:val="0"/>
          <w:sz w:val="22"/>
          <w:szCs w:val="22"/>
        </w:rPr>
      </w:pPr>
      <w:r>
        <w:rPr>
          <w:sz w:val="22"/>
          <w:szCs w:val="22"/>
        </w:rPr>
        <w:t>Osztályozás</w:t>
      </w:r>
      <w:r>
        <w:rPr>
          <w:b w:val="0"/>
          <w:bCs w:val="0"/>
          <w:sz w:val="22"/>
          <w:szCs w:val="22"/>
        </w:rPr>
        <w:t xml:space="preserve">: </w:t>
      </w:r>
      <w:r>
        <w:rPr>
          <w:sz w:val="22"/>
          <w:szCs w:val="22"/>
        </w:rPr>
        <w:t>II. csoport</w:t>
      </w:r>
    </w:p>
    <w:p w:rsidR="004C0022" w:rsidRDefault="004E4EC7">
      <w:pPr>
        <w:pStyle w:val="Szvegtrzsbehzssal"/>
        <w:ind w:left="0"/>
        <w:contextualSpacing/>
        <w:rPr>
          <w:sz w:val="22"/>
          <w:szCs w:val="22"/>
        </w:rPr>
      </w:pPr>
      <w:r>
        <w:rPr>
          <w:sz w:val="22"/>
          <w:szCs w:val="22"/>
        </w:rPr>
        <w:t>Kizárólag orvosi rendelvényhez kötött gyógyszer (V).</w:t>
      </w:r>
    </w:p>
    <w:p w:rsidR="004C0022" w:rsidRDefault="004C0022">
      <w:pPr>
        <w:pStyle w:val="Szvegtrzsbehzssal"/>
        <w:ind w:left="0"/>
        <w:contextualSpacing/>
        <w:rPr>
          <w:sz w:val="22"/>
          <w:szCs w:val="22"/>
        </w:rPr>
      </w:pPr>
    </w:p>
    <w:p w:rsidR="004C0022" w:rsidRDefault="004C0022">
      <w:pPr>
        <w:pStyle w:val="Szvegtrzsbehzssal"/>
        <w:ind w:left="0"/>
        <w:contextualSpacing/>
        <w:rPr>
          <w:sz w:val="22"/>
          <w:szCs w:val="22"/>
        </w:rPr>
      </w:pPr>
    </w:p>
    <w:p w:rsidR="004C0022" w:rsidRDefault="004E4EC7">
      <w:pPr>
        <w:numPr>
          <w:ilvl w:val="0"/>
          <w:numId w:val="4"/>
        </w:numPr>
        <w:tabs>
          <w:tab w:val="clear" w:pos="720"/>
        </w:tabs>
        <w:ind w:left="567" w:hanging="567"/>
        <w:contextualSpacing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A FORGALOMBA HOZATALI ENGEDÉLY JOGOSULTJA</w:t>
      </w:r>
    </w:p>
    <w:p w:rsidR="004C0022" w:rsidRDefault="004C0022">
      <w:pPr>
        <w:pStyle w:val="Szvegtrzsbehzssal"/>
        <w:ind w:left="0"/>
        <w:contextualSpacing/>
        <w:rPr>
          <w:sz w:val="22"/>
          <w:szCs w:val="22"/>
        </w:rPr>
      </w:pPr>
    </w:p>
    <w:p w:rsidR="004C0022" w:rsidRDefault="004E4EC7">
      <w:pPr>
        <w:rPr>
          <w:sz w:val="22"/>
          <w:szCs w:val="22"/>
        </w:rPr>
      </w:pPr>
      <w:bookmarkStart w:id="2" w:name="_Hlk138441868"/>
      <w:r>
        <w:rPr>
          <w:sz w:val="22"/>
          <w:szCs w:val="22"/>
        </w:rPr>
        <w:t>Viatris Healthcare Limited</w:t>
      </w:r>
    </w:p>
    <w:p w:rsidR="004C0022" w:rsidRDefault="004E4EC7">
      <w:pPr>
        <w:rPr>
          <w:sz w:val="22"/>
          <w:szCs w:val="22"/>
        </w:rPr>
      </w:pPr>
      <w:r>
        <w:rPr>
          <w:sz w:val="22"/>
          <w:szCs w:val="22"/>
        </w:rPr>
        <w:t>Damastown Industrial Park</w:t>
      </w:r>
    </w:p>
    <w:p w:rsidR="004C0022" w:rsidRDefault="004E4EC7">
      <w:pPr>
        <w:rPr>
          <w:sz w:val="22"/>
          <w:szCs w:val="22"/>
        </w:rPr>
      </w:pPr>
      <w:r>
        <w:rPr>
          <w:sz w:val="22"/>
          <w:szCs w:val="22"/>
        </w:rPr>
        <w:t>Mulhuddart</w:t>
      </w:r>
    </w:p>
    <w:p w:rsidR="004C0022" w:rsidRDefault="004E4EC7">
      <w:pPr>
        <w:rPr>
          <w:sz w:val="22"/>
          <w:szCs w:val="22"/>
        </w:rPr>
      </w:pPr>
      <w:r>
        <w:rPr>
          <w:sz w:val="22"/>
          <w:szCs w:val="22"/>
        </w:rPr>
        <w:t>Dublin 15</w:t>
      </w:r>
    </w:p>
    <w:p w:rsidR="004C0022" w:rsidRDefault="004E4EC7">
      <w:pPr>
        <w:rPr>
          <w:sz w:val="22"/>
          <w:szCs w:val="22"/>
        </w:rPr>
      </w:pPr>
      <w:r>
        <w:rPr>
          <w:sz w:val="22"/>
          <w:szCs w:val="22"/>
        </w:rPr>
        <w:t>DUBLIN</w:t>
      </w:r>
    </w:p>
    <w:p w:rsidR="004C0022" w:rsidRDefault="004E4EC7">
      <w:pPr>
        <w:rPr>
          <w:sz w:val="22"/>
          <w:szCs w:val="22"/>
        </w:rPr>
      </w:pPr>
      <w:r>
        <w:rPr>
          <w:sz w:val="22"/>
          <w:szCs w:val="22"/>
        </w:rPr>
        <w:t>Írország</w:t>
      </w:r>
    </w:p>
    <w:bookmarkEnd w:id="2"/>
    <w:p w:rsidR="004C0022" w:rsidRDefault="004C0022">
      <w:pPr>
        <w:contextualSpacing/>
        <w:rPr>
          <w:b/>
          <w:bCs/>
          <w:sz w:val="22"/>
          <w:szCs w:val="22"/>
          <w:lang w:val="hu-HU"/>
        </w:rPr>
      </w:pPr>
    </w:p>
    <w:p w:rsidR="004C0022" w:rsidRDefault="004C0022">
      <w:pPr>
        <w:contextualSpacing/>
        <w:rPr>
          <w:b/>
          <w:bCs/>
          <w:sz w:val="22"/>
          <w:szCs w:val="22"/>
          <w:lang w:val="hu-HU"/>
        </w:rPr>
      </w:pPr>
    </w:p>
    <w:p w:rsidR="004C0022" w:rsidRDefault="004E4EC7">
      <w:pPr>
        <w:ind w:left="567" w:hanging="567"/>
        <w:contextualSpacing/>
        <w:rPr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8.</w:t>
      </w:r>
      <w:r>
        <w:rPr>
          <w:b/>
          <w:bCs/>
          <w:sz w:val="22"/>
          <w:szCs w:val="22"/>
          <w:lang w:val="hu-HU"/>
        </w:rPr>
        <w:tab/>
        <w:t>A FORGALOMBA HOZATALI ENGEDÉLY SZÁMAI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OGYI-T-10004/04 </w:t>
      </w:r>
      <w:r>
        <w:rPr>
          <w:sz w:val="22"/>
          <w:szCs w:val="22"/>
          <w:lang w:val="hu-HU"/>
        </w:rPr>
        <w:tab/>
      </w:r>
      <w:r>
        <w:rPr>
          <w:sz w:val="22"/>
          <w:szCs w:val="22"/>
          <w:lang w:val="hu-HU"/>
        </w:rPr>
        <w:tab/>
        <w:t>Betaserc 8 mg tabletta (100 db)</w:t>
      </w:r>
    </w:p>
    <w:p w:rsidR="004C0022" w:rsidRDefault="004E4EC7">
      <w:pPr>
        <w:pStyle w:val="Szvegtrzs2"/>
        <w:spacing w:after="0" w:line="240" w:lineRule="auto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OGYI-T-10004/05 </w:t>
      </w:r>
      <w:r>
        <w:rPr>
          <w:sz w:val="22"/>
          <w:szCs w:val="22"/>
          <w:lang w:val="hu-HU"/>
        </w:rPr>
        <w:tab/>
      </w:r>
      <w:r>
        <w:rPr>
          <w:sz w:val="22"/>
          <w:szCs w:val="22"/>
          <w:lang w:val="hu-HU"/>
        </w:rPr>
        <w:tab/>
        <w:t>Betaserc 16 mg tabletta (60 db)</w:t>
      </w:r>
    </w:p>
    <w:p w:rsidR="004C0022" w:rsidRDefault="004E4EC7">
      <w:pPr>
        <w:pStyle w:val="Szvegtrzs2"/>
        <w:spacing w:after="0" w:line="240" w:lineRule="auto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OGYI-T-10004/01</w:t>
      </w:r>
      <w:r>
        <w:rPr>
          <w:sz w:val="22"/>
          <w:szCs w:val="22"/>
          <w:lang w:val="hu-HU"/>
        </w:rPr>
        <w:tab/>
      </w:r>
      <w:r>
        <w:rPr>
          <w:sz w:val="22"/>
          <w:szCs w:val="22"/>
          <w:lang w:val="hu-HU"/>
        </w:rPr>
        <w:tab/>
        <w:t>Betaserc 24 mg tabletta (50 db)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ind w:left="567" w:hanging="567"/>
        <w:contextualSpacing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9.</w:t>
      </w:r>
      <w:r>
        <w:rPr>
          <w:b/>
          <w:bCs/>
          <w:sz w:val="22"/>
          <w:szCs w:val="22"/>
          <w:lang w:val="hu-HU"/>
        </w:rPr>
        <w:tab/>
        <w:t>A FORGALOMBA HOZATALI ENGEDÉLY ELSŐ KIADÁSÁNAK / MEGÚJÍTÁSÁNAK DÁTUMA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forgalomba hozatali engedély első kiadásának dátuma: 1987.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forgalomba hozatali engedély legutóbbi megújításának dátuma: 2009. február 25.</w:t>
      </w: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C0022">
      <w:pPr>
        <w:contextualSpacing/>
        <w:rPr>
          <w:sz w:val="22"/>
          <w:szCs w:val="22"/>
          <w:lang w:val="hu-HU"/>
        </w:rPr>
      </w:pPr>
    </w:p>
    <w:p w:rsidR="004C0022" w:rsidRDefault="004E4EC7">
      <w:pPr>
        <w:ind w:left="567" w:hanging="567"/>
        <w:contextualSpacing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10.</w:t>
      </w:r>
      <w:r>
        <w:rPr>
          <w:b/>
          <w:bCs/>
          <w:sz w:val="22"/>
          <w:szCs w:val="22"/>
          <w:lang w:val="hu-HU"/>
        </w:rPr>
        <w:tab/>
        <w:t>A SZÖVEG ELLENŐRZÉSÉNEK DÁTUMA</w:t>
      </w:r>
    </w:p>
    <w:p w:rsidR="004C0022" w:rsidRDefault="004C0022">
      <w:pPr>
        <w:contextualSpacing/>
        <w:rPr>
          <w:b/>
          <w:bCs/>
          <w:sz w:val="22"/>
          <w:szCs w:val="22"/>
          <w:lang w:val="hu-HU"/>
        </w:rPr>
      </w:pPr>
    </w:p>
    <w:p w:rsidR="004C0022" w:rsidRDefault="0032017F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2026. június 15.</w:t>
      </w:r>
      <w:bookmarkStart w:id="3" w:name="_GoBack"/>
      <w:bookmarkEnd w:id="3"/>
    </w:p>
    <w:sectPr w:rsidR="004C0022">
      <w:headerReference w:type="default" r:id="rId8"/>
      <w:foot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484" w:rsidRDefault="004E4EC7">
      <w:r>
        <w:separator/>
      </w:r>
    </w:p>
  </w:endnote>
  <w:endnote w:type="continuationSeparator" w:id="0">
    <w:p w:rsidR="00827484" w:rsidRDefault="004E4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022" w:rsidRDefault="004C0022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EC7" w:rsidRPr="004E4EC7" w:rsidRDefault="004E4EC7" w:rsidP="004E4EC7">
    <w:pPr>
      <w:pStyle w:val="llb"/>
      <w:rPr>
        <w:sz w:val="18"/>
        <w:szCs w:val="18"/>
        <w:lang w:val="hu-HU"/>
      </w:rPr>
    </w:pPr>
    <w:r w:rsidRPr="004E4EC7">
      <w:rPr>
        <w:sz w:val="18"/>
        <w:szCs w:val="18"/>
        <w:lang w:val="hu-HU"/>
      </w:rPr>
      <w:t>NNGYK/ETGY/15807/2025</w:t>
    </w:r>
  </w:p>
  <w:p w:rsidR="004E4EC7" w:rsidRDefault="004E4EC7" w:rsidP="004E4EC7">
    <w:pPr>
      <w:pStyle w:val="llb"/>
      <w:rPr>
        <w:sz w:val="18"/>
        <w:szCs w:val="18"/>
        <w:lang w:val="hu-HU"/>
      </w:rPr>
    </w:pPr>
    <w:r>
      <w:rPr>
        <w:sz w:val="18"/>
        <w:szCs w:val="18"/>
        <w:lang w:val="hu-HU"/>
      </w:rPr>
      <w:t>NNGYK/ETGY/15810/2025</w:t>
    </w:r>
  </w:p>
  <w:p w:rsidR="004C0022" w:rsidRDefault="004E4EC7" w:rsidP="004E4EC7">
    <w:pPr>
      <w:pStyle w:val="llb"/>
      <w:rPr>
        <w:sz w:val="18"/>
        <w:szCs w:val="18"/>
        <w:lang w:val="hu-HU"/>
      </w:rPr>
    </w:pPr>
    <w:r w:rsidRPr="004E4EC7">
      <w:rPr>
        <w:sz w:val="18"/>
        <w:szCs w:val="18"/>
        <w:lang w:val="hu-HU"/>
      </w:rPr>
      <w:t>NNGYK/ETGY/19917/2025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484" w:rsidRDefault="004E4EC7">
      <w:r>
        <w:separator/>
      </w:r>
    </w:p>
  </w:footnote>
  <w:footnote w:type="continuationSeparator" w:id="0">
    <w:p w:rsidR="00827484" w:rsidRDefault="004E4E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022" w:rsidRDefault="004E4EC7">
    <w:pPr>
      <w:pStyle w:val="lfej"/>
      <w:jc w:val="center"/>
      <w:rPr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>PAGE \* MERGEFORMAT</w:instrText>
    </w:r>
    <w:r>
      <w:rPr>
        <w:sz w:val="18"/>
        <w:szCs w:val="18"/>
      </w:rPr>
      <w:fldChar w:fldCharType="separate"/>
    </w:r>
    <w:r w:rsidR="00F91460" w:rsidRPr="00F91460">
      <w:rPr>
        <w:noProof/>
        <w:sz w:val="18"/>
        <w:szCs w:val="18"/>
        <w:lang w:val="hu-HU"/>
      </w:rPr>
      <w:t>6</w:t>
    </w:r>
    <w:r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512C3"/>
    <w:multiLevelType w:val="singleLevel"/>
    <w:tmpl w:val="C8E457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43170F8C"/>
    <w:multiLevelType w:val="singleLevel"/>
    <w:tmpl w:val="5868FE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58B4309D"/>
    <w:multiLevelType w:val="multilevel"/>
    <w:tmpl w:val="C7A8EF7C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b/>
        <w:bCs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6F916257"/>
    <w:multiLevelType w:val="singleLevel"/>
    <w:tmpl w:val="BCCA42A6"/>
    <w:lvl w:ilvl="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022"/>
    <w:rsid w:val="0032017F"/>
    <w:rsid w:val="004C0022"/>
    <w:rsid w:val="004E4EC7"/>
    <w:rsid w:val="00827484"/>
    <w:rsid w:val="00F91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D8250"/>
  <w15:docId w15:val="{60A8B5C1-DE04-4158-B3AC-A6FBD4F4D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lang w:val="en-GB"/>
    </w:rPr>
  </w:style>
  <w:style w:type="paragraph" w:styleId="Cmsor1">
    <w:name w:val="heading 1"/>
    <w:basedOn w:val="Norml"/>
    <w:next w:val="Norml"/>
    <w:qFormat/>
    <w:pPr>
      <w:keepNext/>
      <w:outlineLvl w:val="0"/>
    </w:pPr>
    <w:rPr>
      <w:sz w:val="24"/>
      <w:szCs w:val="24"/>
      <w:lang w:val="hu-HU"/>
    </w:rPr>
  </w:style>
  <w:style w:type="paragraph" w:styleId="Cmsor2">
    <w:name w:val="heading 2"/>
    <w:basedOn w:val="Norml"/>
    <w:next w:val="Norml"/>
    <w:qFormat/>
    <w:pPr>
      <w:keepNext/>
      <w:ind w:left="720"/>
      <w:outlineLvl w:val="1"/>
    </w:pPr>
    <w:rPr>
      <w:b/>
      <w:bCs/>
      <w:sz w:val="24"/>
      <w:szCs w:val="24"/>
      <w:lang w:val="hu-HU"/>
    </w:rPr>
  </w:style>
  <w:style w:type="paragraph" w:styleId="Cmsor3">
    <w:name w:val="heading 3"/>
    <w:basedOn w:val="Norml"/>
    <w:next w:val="Norml"/>
    <w:qFormat/>
    <w:pPr>
      <w:keepNext/>
      <w:ind w:left="720"/>
      <w:outlineLvl w:val="2"/>
    </w:pPr>
    <w:rPr>
      <w:i/>
      <w:sz w:val="24"/>
      <w:szCs w:val="24"/>
      <w:lang w:val="hu-HU"/>
    </w:rPr>
  </w:style>
  <w:style w:type="paragraph" w:styleId="Cmsor4">
    <w:name w:val="heading 4"/>
    <w:basedOn w:val="Norml"/>
    <w:next w:val="Norml"/>
    <w:qFormat/>
    <w:pPr>
      <w:keepNext/>
      <w:outlineLvl w:val="3"/>
    </w:pPr>
    <w:rPr>
      <w:b/>
      <w:bCs/>
      <w:sz w:val="28"/>
      <w:szCs w:val="28"/>
      <w:lang w:val="hu-HU"/>
    </w:rPr>
  </w:style>
  <w:style w:type="paragraph" w:styleId="Cmsor5">
    <w:name w:val="heading 5"/>
    <w:basedOn w:val="Norml"/>
    <w:next w:val="Norml"/>
    <w:qFormat/>
    <w:pPr>
      <w:keepNext/>
      <w:outlineLvl w:val="4"/>
    </w:pPr>
    <w:rPr>
      <w:b/>
      <w:bCs/>
      <w:sz w:val="24"/>
      <w:szCs w:val="24"/>
    </w:rPr>
  </w:style>
  <w:style w:type="paragraph" w:styleId="Cmsor6">
    <w:name w:val="heading 6"/>
    <w:basedOn w:val="Norml"/>
    <w:next w:val="Norml"/>
    <w:qFormat/>
    <w:pPr>
      <w:keepNext/>
      <w:ind w:firstLine="720"/>
      <w:outlineLvl w:val="5"/>
    </w:pPr>
    <w:rPr>
      <w:color w:val="0000FF"/>
      <w:sz w:val="22"/>
      <w:szCs w:val="22"/>
      <w:u w:val="single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semiHidden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lb">
    <w:name w:val="footer"/>
    <w:basedOn w:val="Norml"/>
    <w:link w:val="llbChar"/>
    <w:pPr>
      <w:tabs>
        <w:tab w:val="center" w:pos="4153"/>
        <w:tab w:val="right" w:pos="8306"/>
      </w:tabs>
    </w:pPr>
    <w:rPr>
      <w:lang w:eastAsia="en-US"/>
    </w:rPr>
  </w:style>
  <w:style w:type="character" w:styleId="Oldalszm">
    <w:name w:val="page number"/>
    <w:basedOn w:val="Bekezdsalapbettpusa"/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paragraph" w:styleId="Szvegtrzsbehzssal">
    <w:name w:val="Body Text Indent"/>
    <w:basedOn w:val="Norml"/>
    <w:pPr>
      <w:ind w:left="720"/>
    </w:pPr>
    <w:rPr>
      <w:sz w:val="24"/>
      <w:szCs w:val="24"/>
      <w:lang w:val="hu-HU"/>
    </w:rPr>
  </w:style>
  <w:style w:type="paragraph" w:styleId="Szvegtrzsbehzssal2">
    <w:name w:val="Body Text Indent 2"/>
    <w:basedOn w:val="Norml"/>
    <w:pPr>
      <w:ind w:left="720" w:hanging="720"/>
    </w:pPr>
    <w:rPr>
      <w:b/>
      <w:bCs/>
      <w:sz w:val="28"/>
      <w:szCs w:val="28"/>
      <w:lang w:val="hu-HU"/>
    </w:rPr>
  </w:style>
  <w:style w:type="paragraph" w:styleId="Szvegtrzsbehzssal3">
    <w:name w:val="Body Text Indent 3"/>
    <w:basedOn w:val="Norml"/>
    <w:pPr>
      <w:ind w:left="720"/>
    </w:pPr>
    <w:rPr>
      <w:strike/>
      <w:color w:val="0000FF"/>
      <w:sz w:val="24"/>
      <w:szCs w:val="24"/>
      <w:lang w:val="hu-HU"/>
    </w:rPr>
  </w:style>
  <w:style w:type="paragraph" w:styleId="Szvegtrzs">
    <w:name w:val="Body Text"/>
    <w:basedOn w:val="Norml"/>
    <w:rPr>
      <w:b/>
      <w:bCs/>
      <w:sz w:val="24"/>
      <w:szCs w:val="24"/>
      <w:lang w:val="hu-HU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customStyle="1" w:styleId="CommentReference">
    <w:name w:val="Comment Reference"/>
    <w:semiHidden/>
    <w:rPr>
      <w:sz w:val="16"/>
      <w:szCs w:val="16"/>
    </w:rPr>
  </w:style>
  <w:style w:type="paragraph" w:customStyle="1" w:styleId="CommentText">
    <w:name w:val="Comment Text"/>
    <w:basedOn w:val="Norml"/>
    <w:semiHidden/>
  </w:style>
  <w:style w:type="paragraph" w:customStyle="1" w:styleId="CommentSubject">
    <w:name w:val="Comment Subject"/>
    <w:basedOn w:val="CommentText"/>
    <w:next w:val="CommentText"/>
    <w:semiHidden/>
    <w:rPr>
      <w:b/>
      <w:bCs/>
    </w:rPr>
  </w:style>
  <w:style w:type="table" w:styleId="Rcsostblzat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Szvegtrzs2">
    <w:name w:val="Body Text 2"/>
    <w:basedOn w:val="Norml"/>
    <w:pPr>
      <w:spacing w:after="120" w:line="480" w:lineRule="auto"/>
    </w:pPr>
  </w:style>
  <w:style w:type="character" w:customStyle="1" w:styleId="llbChar">
    <w:name w:val="Élőláb Char"/>
    <w:link w:val="llb"/>
    <w:rPr>
      <w:lang w:val="en-GB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lfejChar">
    <w:name w:val="Élőfej Char"/>
    <w:link w:val="lfej"/>
    <w:uiPriority w:val="99"/>
    <w:rPr>
      <w:lang w:val="en-GB"/>
    </w:rPr>
  </w:style>
  <w:style w:type="paragraph" w:customStyle="1" w:styleId="HeaderStyle">
    <w:name w:val="Header Style"/>
    <w:basedOn w:val="Norml"/>
    <w:pPr>
      <w:tabs>
        <w:tab w:val="left" w:pos="720"/>
        <w:tab w:val="left" w:pos="1440"/>
        <w:tab w:val="left" w:pos="7200"/>
      </w:tabs>
      <w:spacing w:line="240" w:lineRule="atLeast"/>
      <w:jc w:val="center"/>
    </w:pPr>
    <w:rPr>
      <w:rFonts w:ascii="Arial" w:hAnsi="Arial" w:cs="Arial"/>
      <w:color w:val="000000"/>
      <w:sz w:val="24"/>
      <w:szCs w:val="24"/>
      <w:lang w:val="en-US" w:eastAsia="nl-NL"/>
    </w:rPr>
  </w:style>
  <w:style w:type="paragraph" w:styleId="Vltozat">
    <w:name w:val="Revision"/>
    <w:uiPriority w:val="99"/>
    <w:semiHidden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14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1793</Words>
  <Characters>12372</Characters>
  <Application>Microsoft Office Word</Application>
  <DocSecurity>0</DocSecurity>
  <Lines>103</Lines>
  <Paragraphs>28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AlkalmazĂˇsi elĹ‘Ă­rĂˇs</vt:lpstr>
    </vt:vector>
  </TitlesOfParts>
  <Company>SolvayPharma</Company>
  <LinksUpToDate>false</LinksUpToDate>
  <CharactersWithSpaces>14137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AlkalmazĂˇsi elĹ‘Ă­rĂˇs</dc:title>
  <dc:creator>Hungary</dc:creator>
  <cp:lastModifiedBy>HU_OGYI_50.1</cp:lastModifiedBy>
  <cp:revision>2</cp:revision>
  <cp:lastPrinted>2009-05-15T06:39:00Z</cp:lastPrinted>
  <dcterms:created xsi:type="dcterms:W3CDTF">2026-06-15T10:54:00Z</dcterms:created>
  <dcterms:modified xsi:type="dcterms:W3CDTF">2026-06-15T10:54:00Z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S_Doc_ID">
    <vt:lpwstr>136040341</vt:lpwstr>
  </property>
</Properties>
</file>