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7DFFD" w14:textId="77777777" w:rsidR="00EC3322" w:rsidRPr="007A0379" w:rsidRDefault="00EC3322" w:rsidP="009F06F4">
      <w:pPr>
        <w:keepNext/>
        <w:tabs>
          <w:tab w:val="left" w:pos="567"/>
        </w:tabs>
        <w:rPr>
          <w:b/>
          <w:caps/>
          <w:color w:val="auto"/>
          <w:sz w:val="22"/>
          <w:szCs w:val="22"/>
        </w:rPr>
      </w:pPr>
      <w:bookmarkStart w:id="0" w:name="_GoBack"/>
      <w:bookmarkEnd w:id="0"/>
      <w:r w:rsidRPr="007A0379">
        <w:rPr>
          <w:b/>
          <w:caps/>
          <w:color w:val="auto"/>
          <w:sz w:val="22"/>
          <w:szCs w:val="22"/>
        </w:rPr>
        <w:t>1.</w:t>
      </w:r>
      <w:r w:rsidRPr="007A0379">
        <w:rPr>
          <w:b/>
          <w:caps/>
          <w:color w:val="auto"/>
          <w:sz w:val="22"/>
          <w:szCs w:val="22"/>
        </w:rPr>
        <w:tab/>
        <w:t>A gyógyszer neve</w:t>
      </w:r>
    </w:p>
    <w:p w14:paraId="7358DBBA" w14:textId="77777777" w:rsidR="00EC3322" w:rsidRPr="007A0379" w:rsidRDefault="00EC3322" w:rsidP="009F06F4">
      <w:pPr>
        <w:keepNext/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</w:p>
    <w:p w14:paraId="32F26136" w14:textId="77777777" w:rsidR="00FE2213" w:rsidRPr="007A0379" w:rsidRDefault="00FE2213" w:rsidP="00771073">
      <w:pPr>
        <w:tabs>
          <w:tab w:val="left" w:pos="567"/>
          <w:tab w:val="center" w:pos="2126"/>
          <w:tab w:val="left" w:pos="6946"/>
          <w:tab w:val="left" w:pos="7938"/>
        </w:tabs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I</w:t>
      </w:r>
      <w:r w:rsidR="00EC3322" w:rsidRPr="007A0379">
        <w:rPr>
          <w:b/>
          <w:color w:val="auto"/>
          <w:sz w:val="22"/>
          <w:szCs w:val="22"/>
        </w:rPr>
        <w:t>migran</w:t>
      </w:r>
      <w:r w:rsidRPr="007A0379">
        <w:rPr>
          <w:b/>
          <w:color w:val="auto"/>
          <w:sz w:val="22"/>
          <w:szCs w:val="22"/>
        </w:rPr>
        <w:t xml:space="preserve"> </w:t>
      </w:r>
      <w:r w:rsidR="00952E63" w:rsidRPr="007A0379">
        <w:rPr>
          <w:b/>
          <w:color w:val="auto"/>
          <w:sz w:val="22"/>
          <w:szCs w:val="22"/>
        </w:rPr>
        <w:t xml:space="preserve">oldatos </w:t>
      </w:r>
      <w:r w:rsidRPr="007A0379">
        <w:rPr>
          <w:b/>
          <w:color w:val="auto"/>
          <w:sz w:val="22"/>
          <w:szCs w:val="22"/>
        </w:rPr>
        <w:t>injekció + autoinjektor</w:t>
      </w:r>
    </w:p>
    <w:p w14:paraId="17882B2A" w14:textId="77777777" w:rsidR="00FE2213" w:rsidRPr="007A0379" w:rsidRDefault="00FE2213" w:rsidP="00771073">
      <w:pPr>
        <w:tabs>
          <w:tab w:val="left" w:pos="567"/>
          <w:tab w:val="center" w:pos="2126"/>
          <w:tab w:val="left" w:pos="6946"/>
          <w:tab w:val="left" w:pos="7938"/>
        </w:tabs>
        <w:rPr>
          <w:b/>
          <w:color w:val="auto"/>
          <w:sz w:val="22"/>
          <w:szCs w:val="22"/>
        </w:rPr>
      </w:pPr>
    </w:p>
    <w:p w14:paraId="5DEC95DD" w14:textId="77777777" w:rsidR="00FE2213" w:rsidRPr="007A0379" w:rsidRDefault="00FE2213" w:rsidP="00771073">
      <w:pPr>
        <w:tabs>
          <w:tab w:val="left" w:pos="567"/>
          <w:tab w:val="center" w:pos="2126"/>
          <w:tab w:val="left" w:pos="6946"/>
          <w:tab w:val="left" w:pos="7938"/>
        </w:tabs>
        <w:rPr>
          <w:b/>
          <w:color w:val="auto"/>
          <w:sz w:val="22"/>
          <w:szCs w:val="22"/>
        </w:rPr>
      </w:pPr>
    </w:p>
    <w:p w14:paraId="583E348C" w14:textId="77777777" w:rsidR="00FE2213" w:rsidRPr="007A0379" w:rsidRDefault="00FE2213" w:rsidP="009F06F4">
      <w:pPr>
        <w:keepNext/>
        <w:numPr>
          <w:ilvl w:val="0"/>
          <w:numId w:val="6"/>
        </w:numPr>
        <w:tabs>
          <w:tab w:val="left" w:pos="567"/>
          <w:tab w:val="center" w:pos="2126"/>
          <w:tab w:val="left" w:pos="6946"/>
          <w:tab w:val="left" w:pos="7938"/>
        </w:tabs>
        <w:ind w:left="360"/>
        <w:rPr>
          <w:b/>
          <w:caps/>
          <w:color w:val="auto"/>
          <w:sz w:val="22"/>
          <w:szCs w:val="22"/>
        </w:rPr>
      </w:pPr>
      <w:r w:rsidRPr="007A0379">
        <w:rPr>
          <w:b/>
          <w:caps/>
          <w:color w:val="auto"/>
          <w:sz w:val="22"/>
          <w:szCs w:val="22"/>
        </w:rPr>
        <w:t>Minőségi és mennyiségi összetétel</w:t>
      </w:r>
    </w:p>
    <w:p w14:paraId="6572C2F6" w14:textId="77777777" w:rsidR="00FE2213" w:rsidRPr="007A0379" w:rsidRDefault="00FE2213" w:rsidP="009F06F4">
      <w:pPr>
        <w:keepNext/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</w:p>
    <w:p w14:paraId="7EAE4AFA" w14:textId="77777777" w:rsidR="00FE2213" w:rsidRPr="007A0379" w:rsidRDefault="00FE2213" w:rsidP="00771073">
      <w:pPr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6</w:t>
      </w:r>
      <w:r w:rsidR="00B34EB1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mg szumatriptán (</w:t>
      </w:r>
      <w:r w:rsidR="00EC3322" w:rsidRPr="007A0379">
        <w:rPr>
          <w:color w:val="auto"/>
          <w:sz w:val="22"/>
          <w:szCs w:val="22"/>
        </w:rPr>
        <w:t>8,4</w:t>
      </w:r>
      <w:r w:rsidR="00B34EB1">
        <w:rPr>
          <w:color w:val="auto"/>
          <w:sz w:val="22"/>
          <w:szCs w:val="22"/>
        </w:rPr>
        <w:t> </w:t>
      </w:r>
      <w:r w:rsidR="00EC3322" w:rsidRPr="007A0379">
        <w:rPr>
          <w:color w:val="auto"/>
          <w:sz w:val="22"/>
          <w:szCs w:val="22"/>
        </w:rPr>
        <w:t xml:space="preserve">mg </w:t>
      </w:r>
      <w:r w:rsidRPr="007A0379">
        <w:rPr>
          <w:color w:val="auto"/>
          <w:sz w:val="22"/>
          <w:szCs w:val="22"/>
        </w:rPr>
        <w:t>szumatriptán</w:t>
      </w:r>
      <w:r w:rsidR="00952E63" w:rsidRPr="007A0379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>szukcinát formájában)</w:t>
      </w:r>
      <w:r w:rsidR="00E062E9">
        <w:rPr>
          <w:color w:val="auto"/>
          <w:sz w:val="22"/>
          <w:szCs w:val="22"/>
        </w:rPr>
        <w:t xml:space="preserve"> izotóniás oldatban</w:t>
      </w:r>
      <w:r w:rsidRPr="007A0379">
        <w:rPr>
          <w:color w:val="auto"/>
          <w:sz w:val="22"/>
          <w:szCs w:val="22"/>
        </w:rPr>
        <w:t xml:space="preserve">, előretöltött </w:t>
      </w:r>
      <w:r w:rsidR="00EC3322" w:rsidRPr="007A0379">
        <w:rPr>
          <w:color w:val="auto"/>
          <w:sz w:val="22"/>
          <w:szCs w:val="22"/>
        </w:rPr>
        <w:t>injekciós patronban</w:t>
      </w:r>
      <w:r w:rsidRPr="007A0379">
        <w:rPr>
          <w:color w:val="auto"/>
          <w:sz w:val="22"/>
          <w:szCs w:val="22"/>
        </w:rPr>
        <w:t xml:space="preserve"> (0,5</w:t>
      </w:r>
      <w:r w:rsidR="00B34EB1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ml)</w:t>
      </w:r>
      <w:r w:rsidR="00EC3322" w:rsidRPr="007A0379">
        <w:rPr>
          <w:color w:val="auto"/>
          <w:sz w:val="22"/>
          <w:szCs w:val="22"/>
        </w:rPr>
        <w:t>.</w:t>
      </w:r>
    </w:p>
    <w:p w14:paraId="7F7F636F" w14:textId="77777777" w:rsidR="00FE2213" w:rsidRPr="007A0379" w:rsidRDefault="00FE2213" w:rsidP="00771073">
      <w:pPr>
        <w:tabs>
          <w:tab w:val="left" w:pos="567"/>
          <w:tab w:val="center" w:pos="2126"/>
          <w:tab w:val="left" w:pos="6946"/>
          <w:tab w:val="left" w:pos="7938"/>
        </w:tabs>
        <w:rPr>
          <w:b/>
          <w:color w:val="auto"/>
          <w:sz w:val="22"/>
          <w:szCs w:val="22"/>
        </w:rPr>
      </w:pPr>
    </w:p>
    <w:p w14:paraId="55169B06" w14:textId="77777777" w:rsidR="00FE2213" w:rsidRPr="007A0379" w:rsidRDefault="00FE2213" w:rsidP="00771073">
      <w:pPr>
        <w:tabs>
          <w:tab w:val="left" w:pos="567"/>
          <w:tab w:val="center" w:pos="2126"/>
          <w:tab w:val="left" w:pos="6946"/>
          <w:tab w:val="left" w:pos="7938"/>
        </w:tabs>
        <w:rPr>
          <w:b/>
          <w:color w:val="auto"/>
          <w:sz w:val="22"/>
          <w:szCs w:val="22"/>
        </w:rPr>
      </w:pPr>
    </w:p>
    <w:p w14:paraId="5F461F34" w14:textId="77777777" w:rsidR="00FE2213" w:rsidRPr="007A0379" w:rsidRDefault="00FE2213" w:rsidP="009F06F4">
      <w:pPr>
        <w:keepNext/>
        <w:numPr>
          <w:ilvl w:val="0"/>
          <w:numId w:val="6"/>
        </w:numPr>
        <w:tabs>
          <w:tab w:val="left" w:pos="567"/>
          <w:tab w:val="center" w:pos="2126"/>
          <w:tab w:val="left" w:pos="6946"/>
          <w:tab w:val="left" w:pos="7938"/>
        </w:tabs>
        <w:ind w:left="360"/>
        <w:rPr>
          <w:b/>
          <w:caps/>
          <w:color w:val="auto"/>
          <w:sz w:val="22"/>
          <w:szCs w:val="22"/>
        </w:rPr>
      </w:pPr>
      <w:r w:rsidRPr="007A0379">
        <w:rPr>
          <w:b/>
          <w:caps/>
          <w:color w:val="auto"/>
          <w:sz w:val="22"/>
          <w:szCs w:val="22"/>
        </w:rPr>
        <w:t xml:space="preserve">Gyógyszerforma </w:t>
      </w:r>
    </w:p>
    <w:p w14:paraId="2027E88E" w14:textId="77777777" w:rsidR="00FE2213" w:rsidRPr="007A0379" w:rsidRDefault="00FE2213" w:rsidP="009F06F4">
      <w:pPr>
        <w:pStyle w:val="WW-BodyText2"/>
        <w:keepNext/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</w:p>
    <w:p w14:paraId="3611612F" w14:textId="77777777" w:rsidR="00F2389A" w:rsidRPr="007A0379" w:rsidRDefault="00952E63" w:rsidP="00771073">
      <w:pPr>
        <w:pStyle w:val="WW-BodyText2"/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Oldatos </w:t>
      </w:r>
      <w:r w:rsidR="00FE2213" w:rsidRPr="007A0379">
        <w:rPr>
          <w:color w:val="auto"/>
          <w:sz w:val="22"/>
          <w:szCs w:val="22"/>
        </w:rPr>
        <w:t xml:space="preserve">injekció: </w:t>
      </w:r>
    </w:p>
    <w:p w14:paraId="53CA1A7F" w14:textId="77777777" w:rsidR="00FE2213" w:rsidRPr="007A0379" w:rsidRDefault="00FE2213" w:rsidP="00771073">
      <w:pPr>
        <w:pStyle w:val="WW-BodyText2"/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Tiszta, színtelen vagy halványsárga színű, idegen részecskétől mentes, steril folyadék.</w:t>
      </w:r>
    </w:p>
    <w:p w14:paraId="0B674C7D" w14:textId="77777777" w:rsidR="007A0379" w:rsidRPr="007A0379" w:rsidRDefault="007A0379" w:rsidP="00771073">
      <w:pPr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</w:p>
    <w:p w14:paraId="14EDFC6D" w14:textId="77777777" w:rsidR="00FE2213" w:rsidRPr="007A0379" w:rsidRDefault="00FE2213" w:rsidP="00771073">
      <w:pPr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Az előretöltött </w:t>
      </w:r>
      <w:r w:rsidR="00F2389A" w:rsidRPr="007A0379">
        <w:rPr>
          <w:color w:val="auto"/>
          <w:sz w:val="22"/>
          <w:szCs w:val="22"/>
        </w:rPr>
        <w:t>injekciós patron autoinjektor</w:t>
      </w:r>
      <w:r w:rsidRPr="007A0379">
        <w:rPr>
          <w:color w:val="auto"/>
          <w:sz w:val="22"/>
          <w:szCs w:val="22"/>
        </w:rPr>
        <w:t xml:space="preserve"> segítségével használható.</w:t>
      </w:r>
    </w:p>
    <w:p w14:paraId="08F9B11A" w14:textId="77777777" w:rsidR="00FE2213" w:rsidRPr="007A0379" w:rsidRDefault="00FE2213" w:rsidP="00771073">
      <w:pPr>
        <w:tabs>
          <w:tab w:val="left" w:pos="567"/>
          <w:tab w:val="center" w:pos="2126"/>
          <w:tab w:val="left" w:pos="6946"/>
          <w:tab w:val="left" w:pos="7938"/>
        </w:tabs>
        <w:rPr>
          <w:b/>
          <w:color w:val="auto"/>
          <w:sz w:val="22"/>
          <w:szCs w:val="22"/>
        </w:rPr>
      </w:pPr>
    </w:p>
    <w:p w14:paraId="6E0BDB34" w14:textId="77777777" w:rsidR="00FE2213" w:rsidRPr="007A0379" w:rsidRDefault="00FE2213" w:rsidP="00771073">
      <w:pPr>
        <w:tabs>
          <w:tab w:val="left" w:pos="567"/>
          <w:tab w:val="center" w:pos="2126"/>
          <w:tab w:val="left" w:pos="6946"/>
          <w:tab w:val="left" w:pos="7938"/>
        </w:tabs>
        <w:rPr>
          <w:b/>
          <w:color w:val="auto"/>
          <w:sz w:val="22"/>
          <w:szCs w:val="22"/>
        </w:rPr>
      </w:pPr>
    </w:p>
    <w:p w14:paraId="57E552E6" w14:textId="77777777" w:rsidR="00FE2213" w:rsidRPr="007A0379" w:rsidRDefault="00FE2213" w:rsidP="00771073">
      <w:pPr>
        <w:numPr>
          <w:ilvl w:val="0"/>
          <w:numId w:val="6"/>
        </w:numPr>
        <w:tabs>
          <w:tab w:val="left" w:pos="567"/>
          <w:tab w:val="center" w:pos="2126"/>
          <w:tab w:val="left" w:pos="6946"/>
          <w:tab w:val="left" w:pos="7938"/>
        </w:tabs>
        <w:ind w:left="360"/>
        <w:rPr>
          <w:b/>
          <w:caps/>
          <w:color w:val="auto"/>
          <w:sz w:val="22"/>
          <w:szCs w:val="22"/>
        </w:rPr>
      </w:pPr>
      <w:r w:rsidRPr="007A0379">
        <w:rPr>
          <w:b/>
          <w:caps/>
          <w:color w:val="auto"/>
          <w:sz w:val="22"/>
          <w:szCs w:val="22"/>
        </w:rPr>
        <w:t>Klinikai jellemzők</w:t>
      </w:r>
    </w:p>
    <w:p w14:paraId="13AA28E2" w14:textId="77777777" w:rsidR="00FE2213" w:rsidRPr="007A0379" w:rsidRDefault="00FE2213" w:rsidP="00E51710">
      <w:pPr>
        <w:rPr>
          <w:color w:val="auto"/>
        </w:rPr>
      </w:pPr>
    </w:p>
    <w:p w14:paraId="01EF2C17" w14:textId="77777777" w:rsidR="00FE2213" w:rsidRPr="007A0379" w:rsidRDefault="00E51710" w:rsidP="009F06F4">
      <w:pPr>
        <w:keepNext/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4.1</w:t>
      </w:r>
      <w:r w:rsidRPr="007A0379">
        <w:rPr>
          <w:b/>
          <w:color w:val="auto"/>
          <w:sz w:val="22"/>
          <w:szCs w:val="22"/>
        </w:rPr>
        <w:tab/>
      </w:r>
      <w:r w:rsidR="00FE2213" w:rsidRPr="007A0379">
        <w:rPr>
          <w:b/>
          <w:color w:val="auto"/>
          <w:sz w:val="22"/>
          <w:szCs w:val="22"/>
        </w:rPr>
        <w:t>Terápiás javallatok</w:t>
      </w:r>
    </w:p>
    <w:p w14:paraId="4F7B147E" w14:textId="77777777" w:rsidR="00FE2213" w:rsidRPr="007A0379" w:rsidRDefault="00FE2213" w:rsidP="009F06F4">
      <w:pPr>
        <w:keepNext/>
        <w:rPr>
          <w:color w:val="auto"/>
        </w:rPr>
      </w:pPr>
    </w:p>
    <w:p w14:paraId="3FCE1113" w14:textId="77777777" w:rsidR="00FE2213" w:rsidRPr="00E062E9" w:rsidRDefault="00FE2213" w:rsidP="00771073">
      <w:pPr>
        <w:tabs>
          <w:tab w:val="left" w:pos="567"/>
        </w:tabs>
        <w:rPr>
          <w:b/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Aurával vagy aura nélkül jelentkező migrénrohamok akut kezelése</w:t>
      </w:r>
      <w:r w:rsidRPr="00A84783">
        <w:rPr>
          <w:color w:val="auto"/>
          <w:sz w:val="22"/>
          <w:szCs w:val="22"/>
        </w:rPr>
        <w:t>,</w:t>
      </w:r>
      <w:r w:rsidRPr="007A0379">
        <w:rPr>
          <w:color w:val="auto"/>
          <w:sz w:val="22"/>
          <w:szCs w:val="22"/>
        </w:rPr>
        <w:t xml:space="preserve"> valamint cluster fejfájás akut kezelése.</w:t>
      </w:r>
    </w:p>
    <w:p w14:paraId="5F71D493" w14:textId="77777777" w:rsidR="00FE2213" w:rsidRDefault="00FE2213" w:rsidP="00771073">
      <w:pPr>
        <w:tabs>
          <w:tab w:val="left" w:pos="567"/>
        </w:tabs>
        <w:rPr>
          <w:b/>
          <w:color w:val="auto"/>
          <w:sz w:val="22"/>
          <w:szCs w:val="22"/>
        </w:rPr>
      </w:pPr>
    </w:p>
    <w:p w14:paraId="2CF500F7" w14:textId="77777777" w:rsidR="00FE2213" w:rsidRPr="007A0379" w:rsidRDefault="00FE2213" w:rsidP="009F06F4">
      <w:pPr>
        <w:keepNext/>
        <w:numPr>
          <w:ilvl w:val="1"/>
          <w:numId w:val="1"/>
        </w:numPr>
        <w:tabs>
          <w:tab w:val="left" w:pos="567"/>
        </w:tabs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Adagolás és alkalmazás</w:t>
      </w:r>
    </w:p>
    <w:p w14:paraId="4E32DD58" w14:textId="77777777" w:rsidR="00FE2213" w:rsidRPr="009C5E40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10625C1A" w14:textId="77777777" w:rsidR="00FE2213" w:rsidRPr="009C5E40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F61186">
        <w:rPr>
          <w:color w:val="auto"/>
          <w:sz w:val="22"/>
          <w:szCs w:val="22"/>
        </w:rPr>
        <w:t xml:space="preserve">A </w:t>
      </w:r>
      <w:r w:rsidR="00F937BF" w:rsidRPr="00F61186">
        <w:rPr>
          <w:color w:val="auto"/>
          <w:sz w:val="22"/>
          <w:szCs w:val="22"/>
        </w:rPr>
        <w:t xml:space="preserve">szumatriptán </w:t>
      </w:r>
      <w:r w:rsidRPr="00F61186">
        <w:rPr>
          <w:color w:val="auto"/>
          <w:sz w:val="22"/>
          <w:szCs w:val="22"/>
        </w:rPr>
        <w:t>megelőzésre nem alkalmazható.</w:t>
      </w:r>
      <w:r w:rsidR="00E062E9" w:rsidRPr="003E1A0E">
        <w:rPr>
          <w:color w:val="auto"/>
          <w:sz w:val="22"/>
          <w:szCs w:val="22"/>
        </w:rPr>
        <w:t xml:space="preserve"> </w:t>
      </w:r>
      <w:r w:rsidR="003B5854" w:rsidRPr="007A0379">
        <w:rPr>
          <w:color w:val="auto"/>
          <w:sz w:val="22"/>
          <w:szCs w:val="22"/>
        </w:rPr>
        <w:t>A szumatriptán ajánlott adagjait nem szabad túllépni.</w:t>
      </w:r>
    </w:p>
    <w:p w14:paraId="287410D6" w14:textId="77777777" w:rsidR="00FE2213" w:rsidRPr="00F61186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07B6AED9" w14:textId="77777777" w:rsidR="00FE2213" w:rsidRDefault="005B0B35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3E1A0E">
        <w:rPr>
          <w:color w:val="auto"/>
          <w:sz w:val="22"/>
          <w:szCs w:val="22"/>
        </w:rPr>
        <w:t>A szumatriptánt</w:t>
      </w:r>
      <w:r w:rsidR="00FE2213" w:rsidRPr="003E1A0E">
        <w:rPr>
          <w:color w:val="auto"/>
          <w:sz w:val="22"/>
          <w:szCs w:val="22"/>
        </w:rPr>
        <w:t xml:space="preserve"> a </w:t>
      </w:r>
      <w:r w:rsidRPr="009C5E40">
        <w:rPr>
          <w:color w:val="auto"/>
          <w:sz w:val="22"/>
          <w:szCs w:val="22"/>
        </w:rPr>
        <w:t xml:space="preserve">migrénes fejfájás, illetve a kapcsolódó tünetek (pl. émelygés, hányás vagy fotofóbia) </w:t>
      </w:r>
      <w:r w:rsidR="00FE2213" w:rsidRPr="009C5E40">
        <w:rPr>
          <w:color w:val="auto"/>
          <w:sz w:val="22"/>
          <w:szCs w:val="22"/>
        </w:rPr>
        <w:t>első jelének észlelésekor a lehető legkorábban kell alkalmazni, de a roham bármely fázisában alkalmazva</w:t>
      </w:r>
      <w:r w:rsidR="00FE2213" w:rsidRPr="007A0379">
        <w:rPr>
          <w:color w:val="auto"/>
          <w:sz w:val="22"/>
          <w:szCs w:val="22"/>
        </w:rPr>
        <w:t xml:space="preserve"> hatásos.</w:t>
      </w:r>
    </w:p>
    <w:p w14:paraId="065E6ACA" w14:textId="77777777" w:rsidR="005B0B35" w:rsidRDefault="005B0B35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6F338472" w14:textId="77777777" w:rsidR="005B0B35" w:rsidRPr="007A0379" w:rsidRDefault="005B0B35" w:rsidP="00771073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 szumatriptán hatásossága független attól, hogy a kezelés kezdetén a roham már mióta áll fenn. A migrén aura során, az egyéb tünetek megjelenése előtt történő alkalmazás nem feltétlenül előzi meg a fejfájás kialakulását.</w:t>
      </w:r>
    </w:p>
    <w:p w14:paraId="266D0B0B" w14:textId="77777777" w:rsidR="00EE0A7A" w:rsidRDefault="00EE0A7A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404D61C3" w14:textId="77777777" w:rsidR="00EE0A7A" w:rsidRPr="00EE0A7A" w:rsidRDefault="00EE0A7A" w:rsidP="00771073">
      <w:pPr>
        <w:tabs>
          <w:tab w:val="left" w:pos="567"/>
        </w:tabs>
        <w:rPr>
          <w:color w:val="auto"/>
          <w:sz w:val="22"/>
          <w:szCs w:val="22"/>
          <w:u w:val="single"/>
        </w:rPr>
      </w:pPr>
      <w:r w:rsidRPr="00EE0A7A">
        <w:rPr>
          <w:color w:val="auto"/>
          <w:sz w:val="22"/>
          <w:szCs w:val="22"/>
          <w:u w:val="single"/>
        </w:rPr>
        <w:t>Adagolás</w:t>
      </w:r>
    </w:p>
    <w:p w14:paraId="73AC5B97" w14:textId="77777777" w:rsidR="00FE2213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3642A352" w14:textId="77777777" w:rsidR="005B0B35" w:rsidRPr="005B0B35" w:rsidRDefault="005B0B35" w:rsidP="009F06F4">
      <w:pPr>
        <w:keepNext/>
        <w:tabs>
          <w:tab w:val="left" w:pos="567"/>
        </w:tabs>
        <w:rPr>
          <w:i/>
          <w:color w:val="auto"/>
          <w:sz w:val="22"/>
          <w:szCs w:val="22"/>
        </w:rPr>
      </w:pPr>
      <w:r w:rsidRPr="005B0B35">
        <w:rPr>
          <w:i/>
          <w:color w:val="auto"/>
          <w:sz w:val="22"/>
          <w:szCs w:val="22"/>
        </w:rPr>
        <w:t>Felnőttek</w:t>
      </w:r>
    </w:p>
    <w:p w14:paraId="3580572F" w14:textId="77777777" w:rsidR="005B0B35" w:rsidRPr="007A0379" w:rsidRDefault="005B0B35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</w:p>
    <w:p w14:paraId="179D6A1D" w14:textId="77777777" w:rsidR="00B16F5A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67545A">
        <w:rPr>
          <w:b/>
          <w:i/>
          <w:color w:val="auto"/>
          <w:sz w:val="22"/>
          <w:szCs w:val="22"/>
        </w:rPr>
        <w:t>Migrén</w:t>
      </w:r>
    </w:p>
    <w:p w14:paraId="0CFC8B51" w14:textId="77777777" w:rsidR="00FE2213" w:rsidRPr="007A0379" w:rsidRDefault="005B0B35" w:rsidP="00771073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</w:t>
      </w:r>
      <w:r w:rsidR="00FE2213" w:rsidRPr="007A0379">
        <w:rPr>
          <w:color w:val="auto"/>
          <w:sz w:val="22"/>
          <w:szCs w:val="22"/>
        </w:rPr>
        <w:t xml:space="preserve">z Imigran </w:t>
      </w:r>
      <w:r w:rsidR="00840DFE">
        <w:rPr>
          <w:color w:val="auto"/>
          <w:sz w:val="22"/>
          <w:szCs w:val="22"/>
        </w:rPr>
        <w:t xml:space="preserve">oldatos </w:t>
      </w:r>
      <w:r w:rsidR="00FE2213" w:rsidRPr="007A0379">
        <w:rPr>
          <w:color w:val="auto"/>
          <w:sz w:val="22"/>
          <w:szCs w:val="22"/>
        </w:rPr>
        <w:t>inj</w:t>
      </w:r>
      <w:r w:rsidR="00840DFE">
        <w:rPr>
          <w:color w:val="auto"/>
          <w:sz w:val="22"/>
          <w:szCs w:val="22"/>
        </w:rPr>
        <w:t>ekció</w:t>
      </w:r>
      <w:r w:rsidR="00FE2213" w:rsidRPr="007A0379">
        <w:rPr>
          <w:color w:val="auto"/>
          <w:sz w:val="22"/>
          <w:szCs w:val="22"/>
        </w:rPr>
        <w:t xml:space="preserve"> ajánlott adagja egyszer 6</w:t>
      </w:r>
      <w:r w:rsidR="0067545A">
        <w:rPr>
          <w:color w:val="auto"/>
          <w:sz w:val="22"/>
          <w:szCs w:val="22"/>
        </w:rPr>
        <w:t> </w:t>
      </w:r>
      <w:r w:rsidR="00FE2213" w:rsidRPr="007A0379">
        <w:rPr>
          <w:color w:val="auto"/>
          <w:sz w:val="22"/>
          <w:szCs w:val="22"/>
        </w:rPr>
        <w:t>mg s</w:t>
      </w:r>
      <w:r w:rsidR="00FF3DA5">
        <w:rPr>
          <w:color w:val="auto"/>
          <w:sz w:val="22"/>
          <w:szCs w:val="22"/>
        </w:rPr>
        <w:t>ubcutan injekció formájában</w:t>
      </w:r>
      <w:r w:rsidR="00FE2213" w:rsidRPr="007A0379">
        <w:rPr>
          <w:color w:val="auto"/>
          <w:sz w:val="22"/>
          <w:szCs w:val="22"/>
        </w:rPr>
        <w:t>.</w:t>
      </w:r>
    </w:p>
    <w:p w14:paraId="4F795F6B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7E4E6029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Ha az első </w:t>
      </w:r>
      <w:r w:rsidR="00DC2117">
        <w:rPr>
          <w:color w:val="auto"/>
          <w:sz w:val="22"/>
          <w:szCs w:val="22"/>
        </w:rPr>
        <w:t>szumatript</w:t>
      </w:r>
      <w:r w:rsidR="00631DC6">
        <w:rPr>
          <w:color w:val="auto"/>
          <w:sz w:val="22"/>
          <w:szCs w:val="22"/>
        </w:rPr>
        <w:t>á</w:t>
      </w:r>
      <w:r w:rsidR="00DC2117">
        <w:rPr>
          <w:color w:val="auto"/>
          <w:sz w:val="22"/>
          <w:szCs w:val="22"/>
        </w:rPr>
        <w:t>n</w:t>
      </w:r>
      <w:r w:rsidR="00DC2117" w:rsidRPr="007A0379">
        <w:rPr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adagra a beteg állapota nem javul, ugyanarra a rohamra még egy adagot nem szabad alkalmazni</w:t>
      </w:r>
      <w:r w:rsidR="0067545A">
        <w:rPr>
          <w:color w:val="auto"/>
          <w:sz w:val="22"/>
          <w:szCs w:val="22"/>
        </w:rPr>
        <w:t xml:space="preserve">. </w:t>
      </w:r>
      <w:r w:rsidR="0067545A" w:rsidRPr="00B16F5A">
        <w:rPr>
          <w:color w:val="auto"/>
          <w:sz w:val="22"/>
          <w:szCs w:val="22"/>
        </w:rPr>
        <w:t>Ezekben az esetekben a roham kezelhető paracetamollal, acetilszalicilsavval vagy nem</w:t>
      </w:r>
      <w:r w:rsidR="0091066E">
        <w:rPr>
          <w:color w:val="auto"/>
          <w:sz w:val="22"/>
          <w:szCs w:val="22"/>
        </w:rPr>
        <w:noBreakHyphen/>
      </w:r>
      <w:r w:rsidR="0067545A" w:rsidRPr="00B16F5A">
        <w:rPr>
          <w:color w:val="auto"/>
          <w:sz w:val="22"/>
          <w:szCs w:val="22"/>
        </w:rPr>
        <w:t>szteroid gyulladáscsökkentőkkel.</w:t>
      </w:r>
      <w:r w:rsidRPr="007A0379">
        <w:rPr>
          <w:color w:val="auto"/>
          <w:sz w:val="22"/>
          <w:szCs w:val="22"/>
        </w:rPr>
        <w:t xml:space="preserve"> </w:t>
      </w:r>
      <w:r w:rsidR="0067545A">
        <w:rPr>
          <w:color w:val="auto"/>
          <w:sz w:val="22"/>
          <w:szCs w:val="22"/>
        </w:rPr>
        <w:t>Ú</w:t>
      </w:r>
      <w:r w:rsidRPr="007A0379">
        <w:rPr>
          <w:color w:val="auto"/>
          <w:sz w:val="22"/>
          <w:szCs w:val="22"/>
        </w:rPr>
        <w:t>jabb roham esetén ismét adagolható a</w:t>
      </w:r>
      <w:r w:rsidR="002576EC">
        <w:rPr>
          <w:color w:val="auto"/>
          <w:sz w:val="22"/>
          <w:szCs w:val="22"/>
        </w:rPr>
        <w:t xml:space="preserve"> </w:t>
      </w:r>
      <w:r w:rsidR="00DC2117">
        <w:rPr>
          <w:color w:val="auto"/>
          <w:sz w:val="22"/>
          <w:szCs w:val="22"/>
        </w:rPr>
        <w:t>szumatript</w:t>
      </w:r>
      <w:r w:rsidR="00631DC6">
        <w:rPr>
          <w:color w:val="auto"/>
          <w:sz w:val="22"/>
          <w:szCs w:val="22"/>
        </w:rPr>
        <w:t>á</w:t>
      </w:r>
      <w:r w:rsidR="00DC2117">
        <w:rPr>
          <w:color w:val="auto"/>
          <w:sz w:val="22"/>
          <w:szCs w:val="22"/>
        </w:rPr>
        <w:t>n</w:t>
      </w:r>
      <w:r w:rsidRPr="007A0379">
        <w:rPr>
          <w:color w:val="auto"/>
          <w:sz w:val="22"/>
          <w:szCs w:val="22"/>
        </w:rPr>
        <w:t>.</w:t>
      </w:r>
    </w:p>
    <w:p w14:paraId="1FCC125D" w14:textId="77777777" w:rsidR="00FE2213" w:rsidRPr="007A0379" w:rsidRDefault="00FE2213" w:rsidP="00771073">
      <w:pPr>
        <w:tabs>
          <w:tab w:val="left" w:pos="567"/>
        </w:tabs>
        <w:rPr>
          <w:b/>
          <w:color w:val="auto"/>
          <w:sz w:val="22"/>
          <w:szCs w:val="22"/>
          <w:u w:val="single"/>
        </w:rPr>
      </w:pPr>
    </w:p>
    <w:p w14:paraId="72E92ADC" w14:textId="77777777" w:rsidR="00840DFE" w:rsidRDefault="0067545A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865B85">
        <w:rPr>
          <w:color w:val="auto"/>
          <w:sz w:val="22"/>
          <w:szCs w:val="22"/>
        </w:rPr>
        <w:t xml:space="preserve">Ha a tünetek megszűnnek </w:t>
      </w:r>
      <w:r w:rsidR="00B136FB">
        <w:rPr>
          <w:color w:val="auto"/>
          <w:sz w:val="22"/>
          <w:szCs w:val="22"/>
        </w:rPr>
        <w:t xml:space="preserve">az </w:t>
      </w:r>
      <w:r w:rsidRPr="00865B85">
        <w:rPr>
          <w:color w:val="auto"/>
          <w:sz w:val="22"/>
          <w:szCs w:val="22"/>
        </w:rPr>
        <w:t>első dózis hatására</w:t>
      </w:r>
      <w:r w:rsidR="00FE2213" w:rsidRPr="007A0379">
        <w:rPr>
          <w:color w:val="auto"/>
          <w:sz w:val="22"/>
          <w:szCs w:val="22"/>
        </w:rPr>
        <w:t xml:space="preserve">, de később visszatérnek, még egy adag adható </w:t>
      </w:r>
      <w:r>
        <w:rPr>
          <w:color w:val="auto"/>
          <w:sz w:val="22"/>
          <w:szCs w:val="22"/>
        </w:rPr>
        <w:t xml:space="preserve">a következő </w:t>
      </w:r>
      <w:r w:rsidR="00FE2213" w:rsidRPr="007A0379">
        <w:rPr>
          <w:color w:val="auto"/>
          <w:sz w:val="22"/>
          <w:szCs w:val="22"/>
        </w:rPr>
        <w:t>24</w:t>
      </w:r>
      <w:r w:rsidR="000761DA">
        <w:rPr>
          <w:color w:val="auto"/>
          <w:sz w:val="22"/>
          <w:szCs w:val="22"/>
        </w:rPr>
        <w:t> </w:t>
      </w:r>
      <w:r w:rsidR="00FE2213" w:rsidRPr="007A0379">
        <w:rPr>
          <w:color w:val="auto"/>
          <w:sz w:val="22"/>
          <w:szCs w:val="22"/>
        </w:rPr>
        <w:t>órán belül, de legalább 1</w:t>
      </w:r>
      <w:r w:rsidR="000761DA">
        <w:rPr>
          <w:color w:val="auto"/>
          <w:sz w:val="22"/>
          <w:szCs w:val="22"/>
        </w:rPr>
        <w:t> </w:t>
      </w:r>
      <w:r w:rsidR="00FE2213" w:rsidRPr="007A0379">
        <w:rPr>
          <w:color w:val="auto"/>
          <w:sz w:val="22"/>
          <w:szCs w:val="22"/>
        </w:rPr>
        <w:t xml:space="preserve">órával az első adag után. </w:t>
      </w:r>
    </w:p>
    <w:p w14:paraId="761E3926" w14:textId="77777777" w:rsidR="00840DFE" w:rsidRPr="00B16F5A" w:rsidRDefault="00840DFE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00835122" w14:textId="77777777" w:rsidR="00FE2213" w:rsidRPr="0015057D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15057D">
        <w:rPr>
          <w:color w:val="auto"/>
          <w:sz w:val="22"/>
          <w:szCs w:val="22"/>
        </w:rPr>
        <w:t>Az injekció maximális adagja 24 órán belül 2</w:t>
      </w:r>
      <w:r w:rsidR="000761DA">
        <w:rPr>
          <w:color w:val="auto"/>
          <w:sz w:val="22"/>
          <w:szCs w:val="22"/>
        </w:rPr>
        <w:noBreakHyphen/>
      </w:r>
      <w:r w:rsidRPr="0015057D">
        <w:rPr>
          <w:color w:val="auto"/>
          <w:sz w:val="22"/>
          <w:szCs w:val="22"/>
        </w:rPr>
        <w:t>szer 6</w:t>
      </w:r>
      <w:r w:rsidR="000761DA">
        <w:rPr>
          <w:color w:val="auto"/>
          <w:sz w:val="22"/>
          <w:szCs w:val="22"/>
        </w:rPr>
        <w:t> </w:t>
      </w:r>
      <w:r w:rsidRPr="0015057D">
        <w:rPr>
          <w:color w:val="auto"/>
          <w:sz w:val="22"/>
          <w:szCs w:val="22"/>
        </w:rPr>
        <w:t>mg (12</w:t>
      </w:r>
      <w:r w:rsidR="000761DA">
        <w:rPr>
          <w:color w:val="auto"/>
          <w:sz w:val="22"/>
          <w:szCs w:val="22"/>
        </w:rPr>
        <w:t> </w:t>
      </w:r>
      <w:r w:rsidRPr="0015057D">
        <w:rPr>
          <w:color w:val="auto"/>
          <w:sz w:val="22"/>
          <w:szCs w:val="22"/>
        </w:rPr>
        <w:t>mg).</w:t>
      </w:r>
    </w:p>
    <w:p w14:paraId="48CC2F3C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  <w:u w:val="single"/>
        </w:rPr>
      </w:pPr>
    </w:p>
    <w:p w14:paraId="5C3CFF3E" w14:textId="77777777" w:rsidR="00B16F5A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0761DA">
        <w:rPr>
          <w:b/>
          <w:i/>
          <w:color w:val="auto"/>
          <w:sz w:val="22"/>
          <w:szCs w:val="22"/>
        </w:rPr>
        <w:t>Cluster fejfájás</w:t>
      </w:r>
    </w:p>
    <w:p w14:paraId="2B18C8CA" w14:textId="77777777" w:rsidR="00FE2213" w:rsidRPr="007A0379" w:rsidRDefault="00B16F5A" w:rsidP="00771073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</w:t>
      </w:r>
      <w:r w:rsidR="00DC2117">
        <w:rPr>
          <w:color w:val="auto"/>
          <w:sz w:val="22"/>
          <w:szCs w:val="22"/>
        </w:rPr>
        <w:t xml:space="preserve"> szumatript</w:t>
      </w:r>
      <w:r w:rsidR="0091066E">
        <w:rPr>
          <w:color w:val="auto"/>
          <w:sz w:val="22"/>
          <w:szCs w:val="22"/>
        </w:rPr>
        <w:t>á</w:t>
      </w:r>
      <w:r w:rsidR="00DC2117">
        <w:rPr>
          <w:color w:val="auto"/>
          <w:sz w:val="22"/>
          <w:szCs w:val="22"/>
        </w:rPr>
        <w:t xml:space="preserve">n </w:t>
      </w:r>
      <w:r w:rsidR="00FE2213" w:rsidRPr="007A0379">
        <w:rPr>
          <w:color w:val="auto"/>
          <w:sz w:val="22"/>
          <w:szCs w:val="22"/>
        </w:rPr>
        <w:t>ajánlott adagja 6</w:t>
      </w:r>
      <w:r w:rsidR="000761DA">
        <w:rPr>
          <w:color w:val="auto"/>
          <w:sz w:val="22"/>
          <w:szCs w:val="22"/>
        </w:rPr>
        <w:t> </w:t>
      </w:r>
      <w:r w:rsidR="00FE2213" w:rsidRPr="007A0379">
        <w:rPr>
          <w:color w:val="auto"/>
          <w:sz w:val="22"/>
          <w:szCs w:val="22"/>
        </w:rPr>
        <w:t xml:space="preserve">mg sc., </w:t>
      </w:r>
      <w:r>
        <w:rPr>
          <w:color w:val="auto"/>
          <w:sz w:val="22"/>
          <w:szCs w:val="22"/>
        </w:rPr>
        <w:t xml:space="preserve">cluster </w:t>
      </w:r>
      <w:r w:rsidR="00FE2213" w:rsidRPr="007A0379">
        <w:rPr>
          <w:color w:val="auto"/>
          <w:sz w:val="22"/>
          <w:szCs w:val="22"/>
        </w:rPr>
        <w:t>rohamonként egyszer alkalmazva. Alkalmazható maximális adagja 24</w:t>
      </w:r>
      <w:r w:rsidR="000761DA">
        <w:rPr>
          <w:color w:val="auto"/>
          <w:sz w:val="22"/>
          <w:szCs w:val="22"/>
        </w:rPr>
        <w:t> </w:t>
      </w:r>
      <w:r w:rsidR="00FE2213" w:rsidRPr="007A0379">
        <w:rPr>
          <w:color w:val="auto"/>
          <w:sz w:val="22"/>
          <w:szCs w:val="22"/>
        </w:rPr>
        <w:t>órán belül 2-szer 6</w:t>
      </w:r>
      <w:r w:rsidR="000761DA">
        <w:rPr>
          <w:color w:val="auto"/>
          <w:sz w:val="22"/>
          <w:szCs w:val="22"/>
        </w:rPr>
        <w:t> </w:t>
      </w:r>
      <w:r w:rsidR="00FE2213" w:rsidRPr="007A0379">
        <w:rPr>
          <w:color w:val="auto"/>
          <w:sz w:val="22"/>
          <w:szCs w:val="22"/>
        </w:rPr>
        <w:t>mg (12</w:t>
      </w:r>
      <w:r w:rsidR="000761DA">
        <w:rPr>
          <w:color w:val="auto"/>
          <w:sz w:val="22"/>
          <w:szCs w:val="22"/>
        </w:rPr>
        <w:t> </w:t>
      </w:r>
      <w:r w:rsidR="00FE2213" w:rsidRPr="007A0379">
        <w:rPr>
          <w:color w:val="auto"/>
          <w:sz w:val="22"/>
          <w:szCs w:val="22"/>
        </w:rPr>
        <w:t xml:space="preserve">mg), de a két beadás közt legalább egy órának kell </w:t>
      </w:r>
      <w:r w:rsidR="00FE2213" w:rsidRPr="007A0379">
        <w:rPr>
          <w:color w:val="auto"/>
          <w:sz w:val="22"/>
          <w:szCs w:val="22"/>
        </w:rPr>
        <w:lastRenderedPageBreak/>
        <w:t>eltelnie.</w:t>
      </w:r>
    </w:p>
    <w:p w14:paraId="70DBA9FF" w14:textId="77777777" w:rsidR="008428C6" w:rsidRPr="007A0379" w:rsidRDefault="008428C6" w:rsidP="00771073">
      <w:pPr>
        <w:pStyle w:val="Szvegtrzs"/>
        <w:tabs>
          <w:tab w:val="left" w:pos="567"/>
        </w:tabs>
        <w:spacing w:after="0"/>
        <w:rPr>
          <w:color w:val="auto"/>
          <w:sz w:val="22"/>
          <w:szCs w:val="22"/>
        </w:rPr>
      </w:pPr>
    </w:p>
    <w:p w14:paraId="361599D1" w14:textId="77777777" w:rsidR="008428C6" w:rsidRPr="002D464B" w:rsidRDefault="008428C6" w:rsidP="008428C6">
      <w:pPr>
        <w:pStyle w:val="Szvegtrzs"/>
        <w:tabs>
          <w:tab w:val="left" w:pos="567"/>
        </w:tabs>
        <w:spacing w:after="0"/>
        <w:rPr>
          <w:i/>
          <w:color w:val="auto"/>
          <w:sz w:val="22"/>
          <w:szCs w:val="22"/>
        </w:rPr>
      </w:pPr>
      <w:r w:rsidRPr="002D464B">
        <w:rPr>
          <w:i/>
          <w:color w:val="auto"/>
          <w:sz w:val="22"/>
          <w:szCs w:val="22"/>
        </w:rPr>
        <w:t>Gyermek</w:t>
      </w:r>
      <w:r>
        <w:rPr>
          <w:i/>
          <w:color w:val="auto"/>
          <w:sz w:val="22"/>
          <w:szCs w:val="22"/>
        </w:rPr>
        <w:t>ek és serdülőkorúak</w:t>
      </w:r>
      <w:r w:rsidRPr="002D464B">
        <w:rPr>
          <w:i/>
          <w:color w:val="auto"/>
          <w:sz w:val="22"/>
          <w:szCs w:val="22"/>
        </w:rPr>
        <w:t xml:space="preserve"> </w:t>
      </w:r>
      <w:r w:rsidRPr="003203C4">
        <w:rPr>
          <w:i/>
          <w:color w:val="auto"/>
          <w:sz w:val="22"/>
          <w:szCs w:val="22"/>
        </w:rPr>
        <w:t>(</w:t>
      </w:r>
      <w:r w:rsidRPr="002D464B">
        <w:rPr>
          <w:i/>
          <w:color w:val="auto"/>
          <w:sz w:val="22"/>
          <w:szCs w:val="22"/>
        </w:rPr>
        <w:t>18</w:t>
      </w:r>
      <w:r w:rsidR="000761DA">
        <w:rPr>
          <w:i/>
          <w:color w:val="auto"/>
          <w:sz w:val="22"/>
          <w:szCs w:val="22"/>
        </w:rPr>
        <w:t> </w:t>
      </w:r>
      <w:r w:rsidRPr="002D464B">
        <w:rPr>
          <w:i/>
          <w:color w:val="auto"/>
          <w:sz w:val="22"/>
          <w:szCs w:val="22"/>
        </w:rPr>
        <w:t>év alatt</w:t>
      </w:r>
      <w:r w:rsidRPr="003203C4">
        <w:rPr>
          <w:i/>
          <w:color w:val="auto"/>
          <w:sz w:val="22"/>
          <w:szCs w:val="22"/>
        </w:rPr>
        <w:t>)</w:t>
      </w:r>
    </w:p>
    <w:p w14:paraId="75BABC44" w14:textId="77777777" w:rsidR="008428C6" w:rsidRPr="006A2269" w:rsidRDefault="008428C6" w:rsidP="008428C6">
      <w:pPr>
        <w:rPr>
          <w:noProof/>
          <w:sz w:val="22"/>
          <w:szCs w:val="22"/>
        </w:rPr>
      </w:pPr>
      <w:r w:rsidRPr="006A2269">
        <w:rPr>
          <w:noProof/>
          <w:sz w:val="22"/>
          <w:szCs w:val="22"/>
        </w:rPr>
        <w:t>A</w:t>
      </w:r>
      <w:r w:rsidR="00CD4300">
        <w:rPr>
          <w:noProof/>
          <w:sz w:val="22"/>
          <w:szCs w:val="22"/>
        </w:rPr>
        <w:t>z Imigran oldatos</w:t>
      </w:r>
      <w:r w:rsidR="00DC2117">
        <w:rPr>
          <w:noProof/>
          <w:sz w:val="22"/>
          <w:szCs w:val="22"/>
        </w:rPr>
        <w:t xml:space="preserve"> </w:t>
      </w:r>
      <w:r w:rsidR="00B72384">
        <w:rPr>
          <w:noProof/>
          <w:sz w:val="22"/>
          <w:szCs w:val="22"/>
        </w:rPr>
        <w:t>inje</w:t>
      </w:r>
      <w:r w:rsidR="005A300B">
        <w:rPr>
          <w:noProof/>
          <w:sz w:val="22"/>
          <w:szCs w:val="22"/>
        </w:rPr>
        <w:t>kc</w:t>
      </w:r>
      <w:r w:rsidR="00B72384">
        <w:rPr>
          <w:noProof/>
          <w:sz w:val="22"/>
          <w:szCs w:val="22"/>
        </w:rPr>
        <w:t xml:space="preserve">ió </w:t>
      </w:r>
      <w:r w:rsidRPr="006A2269">
        <w:rPr>
          <w:noProof/>
          <w:sz w:val="22"/>
          <w:szCs w:val="22"/>
        </w:rPr>
        <w:t xml:space="preserve">nem javasolt </w:t>
      </w:r>
      <w:r>
        <w:rPr>
          <w:noProof/>
          <w:sz w:val="22"/>
          <w:szCs w:val="22"/>
        </w:rPr>
        <w:t>18</w:t>
      </w:r>
      <w:r w:rsidR="000761DA">
        <w:rPr>
          <w:noProof/>
          <w:sz w:val="22"/>
          <w:szCs w:val="22"/>
        </w:rPr>
        <w:t> </w:t>
      </w:r>
      <w:r w:rsidRPr="006A2269">
        <w:rPr>
          <w:noProof/>
          <w:sz w:val="22"/>
          <w:szCs w:val="22"/>
        </w:rPr>
        <w:t>év</w:t>
      </w:r>
      <w:r>
        <w:rPr>
          <w:noProof/>
          <w:sz w:val="22"/>
          <w:szCs w:val="22"/>
        </w:rPr>
        <w:t xml:space="preserve"> </w:t>
      </w:r>
      <w:r w:rsidRPr="006A2269">
        <w:rPr>
          <w:noProof/>
          <w:sz w:val="22"/>
          <w:szCs w:val="22"/>
        </w:rPr>
        <w:t xml:space="preserve">alatti gyermekek </w:t>
      </w:r>
      <w:r>
        <w:rPr>
          <w:noProof/>
          <w:sz w:val="22"/>
          <w:szCs w:val="22"/>
        </w:rPr>
        <w:t xml:space="preserve">és serdülőkorúak </w:t>
      </w:r>
      <w:r w:rsidRPr="006A2269">
        <w:rPr>
          <w:noProof/>
          <w:sz w:val="22"/>
          <w:szCs w:val="22"/>
        </w:rPr>
        <w:t>számára a biztonságosságra és</w:t>
      </w:r>
      <w:r>
        <w:rPr>
          <w:noProof/>
          <w:sz w:val="22"/>
          <w:szCs w:val="22"/>
        </w:rPr>
        <w:t xml:space="preserve"> </w:t>
      </w:r>
      <w:r w:rsidRPr="006A2269">
        <w:rPr>
          <w:noProof/>
          <w:sz w:val="22"/>
          <w:szCs w:val="22"/>
        </w:rPr>
        <w:t>a hatásosságra vonatkozó adatok hiánya</w:t>
      </w:r>
      <w:r>
        <w:rPr>
          <w:noProof/>
          <w:sz w:val="22"/>
          <w:szCs w:val="22"/>
        </w:rPr>
        <w:t xml:space="preserve"> </w:t>
      </w:r>
      <w:r w:rsidRPr="006A2269">
        <w:rPr>
          <w:noProof/>
          <w:sz w:val="22"/>
          <w:szCs w:val="22"/>
        </w:rPr>
        <w:t>miatt.</w:t>
      </w:r>
    </w:p>
    <w:p w14:paraId="17D578A3" w14:textId="77777777" w:rsidR="00FE2213" w:rsidRPr="007A0379" w:rsidRDefault="00FE2213" w:rsidP="00771073">
      <w:pPr>
        <w:pStyle w:val="Szvegtrzs"/>
        <w:tabs>
          <w:tab w:val="left" w:pos="567"/>
        </w:tabs>
        <w:spacing w:after="0"/>
        <w:rPr>
          <w:color w:val="auto"/>
          <w:sz w:val="22"/>
          <w:szCs w:val="22"/>
        </w:rPr>
      </w:pPr>
    </w:p>
    <w:p w14:paraId="7381C979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i/>
          <w:color w:val="auto"/>
          <w:sz w:val="22"/>
          <w:szCs w:val="22"/>
        </w:rPr>
        <w:t>Időskor</w:t>
      </w:r>
      <w:r w:rsidR="005B7A53" w:rsidRPr="007A0379">
        <w:rPr>
          <w:i/>
          <w:color w:val="auto"/>
          <w:sz w:val="22"/>
          <w:szCs w:val="22"/>
        </w:rPr>
        <w:t>úak</w:t>
      </w:r>
      <w:r w:rsidRPr="003203C4">
        <w:rPr>
          <w:color w:val="auto"/>
          <w:sz w:val="22"/>
          <w:szCs w:val="22"/>
        </w:rPr>
        <w:t xml:space="preserve"> </w:t>
      </w:r>
      <w:r w:rsidRPr="003203C4">
        <w:rPr>
          <w:i/>
          <w:color w:val="auto"/>
          <w:sz w:val="22"/>
          <w:szCs w:val="22"/>
        </w:rPr>
        <w:t>(65</w:t>
      </w:r>
      <w:r w:rsidR="000761DA" w:rsidRPr="003203C4">
        <w:rPr>
          <w:i/>
          <w:color w:val="auto"/>
          <w:sz w:val="22"/>
          <w:szCs w:val="22"/>
        </w:rPr>
        <w:t> </w:t>
      </w:r>
      <w:r w:rsidRPr="003203C4">
        <w:rPr>
          <w:i/>
          <w:color w:val="auto"/>
          <w:sz w:val="22"/>
          <w:szCs w:val="22"/>
        </w:rPr>
        <w:t xml:space="preserve">év felett) </w:t>
      </w:r>
    </w:p>
    <w:p w14:paraId="551B1301" w14:textId="77777777" w:rsidR="00FE2213" w:rsidRDefault="00FE2213" w:rsidP="00771073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szumatriptán alkalmazásával kapcsolatban 65</w:t>
      </w:r>
      <w:r w:rsidR="000761DA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évesnél idősebb betegeken kevés a tapasztalat. Farmakokinetikája nem tér el jelentősen a fiatalabb populáció adataitól, de amíg további klinikai tapasztalatok nincsenek, adása ebben a korcsoportban nem ajánlott.</w:t>
      </w:r>
    </w:p>
    <w:p w14:paraId="0AB4E482" w14:textId="77777777" w:rsidR="00EE0A7A" w:rsidRDefault="00EE0A7A" w:rsidP="00771073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</w:p>
    <w:p w14:paraId="58AF0C38" w14:textId="77777777" w:rsidR="00EE0A7A" w:rsidRPr="00EE0A7A" w:rsidRDefault="00AA6232" w:rsidP="00EE0A7A">
      <w:pPr>
        <w:tabs>
          <w:tab w:val="left" w:pos="567"/>
        </w:tabs>
        <w:rPr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  <w:u w:val="single"/>
        </w:rPr>
        <w:t>Az a</w:t>
      </w:r>
      <w:r w:rsidR="00EE0A7A" w:rsidRPr="00EE0A7A">
        <w:rPr>
          <w:color w:val="auto"/>
          <w:sz w:val="22"/>
          <w:szCs w:val="22"/>
          <w:u w:val="single"/>
        </w:rPr>
        <w:t>lkalmazás módja</w:t>
      </w:r>
    </w:p>
    <w:p w14:paraId="4E7494A3" w14:textId="77777777" w:rsidR="00EE0A7A" w:rsidRDefault="00EE0A7A" w:rsidP="00EE0A7A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Subcutan alkalmazásra</w:t>
      </w:r>
    </w:p>
    <w:p w14:paraId="69771850" w14:textId="77777777" w:rsidR="00EE0A7A" w:rsidRDefault="00EE0A7A" w:rsidP="00EE0A7A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Az Imigran </w:t>
      </w:r>
      <w:r>
        <w:rPr>
          <w:color w:val="auto"/>
          <w:sz w:val="22"/>
          <w:szCs w:val="22"/>
        </w:rPr>
        <w:t xml:space="preserve">oldatos </w:t>
      </w:r>
      <w:r w:rsidRPr="007A0379">
        <w:rPr>
          <w:color w:val="auto"/>
          <w:sz w:val="22"/>
          <w:szCs w:val="22"/>
        </w:rPr>
        <w:t>injekciót subcutan, autoinjektorral kell alkalmazni.</w:t>
      </w:r>
    </w:p>
    <w:p w14:paraId="18ECB2DF" w14:textId="77777777" w:rsidR="00EE0A7A" w:rsidRDefault="00EE0A7A" w:rsidP="00EE0A7A">
      <w:pPr>
        <w:tabs>
          <w:tab w:val="left" w:pos="567"/>
        </w:tabs>
        <w:rPr>
          <w:color w:val="auto"/>
          <w:sz w:val="22"/>
          <w:szCs w:val="22"/>
        </w:rPr>
      </w:pPr>
    </w:p>
    <w:p w14:paraId="4B96C783" w14:textId="77777777" w:rsidR="00EE0A7A" w:rsidRPr="007A0379" w:rsidRDefault="00EE0A7A" w:rsidP="00EE0A7A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beteg figyelmét fel kell hívni az autoinjektorhoz mellékelt utasítás pontos betartására, ill. arra, hogy a fecskendőket és tűket tartalmazó patron újra felnem használható, használat után eldobandó.</w:t>
      </w:r>
    </w:p>
    <w:p w14:paraId="7270D6C3" w14:textId="77777777" w:rsidR="00EE0A7A" w:rsidRPr="007A0379" w:rsidRDefault="00EE0A7A" w:rsidP="00771073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</w:p>
    <w:p w14:paraId="6DEBDF70" w14:textId="77777777" w:rsidR="00FE2213" w:rsidRPr="007A0379" w:rsidRDefault="00FE2213" w:rsidP="009F06F4">
      <w:pPr>
        <w:keepNext/>
        <w:numPr>
          <w:ilvl w:val="1"/>
          <w:numId w:val="1"/>
        </w:numPr>
        <w:tabs>
          <w:tab w:val="left" w:pos="567"/>
        </w:tabs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Ellenjavallatok</w:t>
      </w:r>
    </w:p>
    <w:p w14:paraId="0CE7BB69" w14:textId="77777777" w:rsidR="00FE2213" w:rsidRPr="007A0379" w:rsidRDefault="00FE2213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310D5807" w14:textId="77777777" w:rsidR="000761DA" w:rsidRPr="00B16F5A" w:rsidRDefault="000761DA" w:rsidP="000761DA">
      <w:pPr>
        <w:tabs>
          <w:tab w:val="left" w:pos="567"/>
        </w:tabs>
        <w:rPr>
          <w:color w:val="auto"/>
          <w:sz w:val="22"/>
          <w:szCs w:val="22"/>
        </w:rPr>
      </w:pPr>
      <w:r w:rsidRPr="00B16F5A">
        <w:rPr>
          <w:color w:val="auto"/>
          <w:sz w:val="22"/>
          <w:szCs w:val="22"/>
        </w:rPr>
        <w:t>A kész</w:t>
      </w:r>
      <w:r>
        <w:rPr>
          <w:color w:val="auto"/>
          <w:sz w:val="22"/>
          <w:szCs w:val="22"/>
        </w:rPr>
        <w:t>ítmény hatóanyagával vagy a 6.1 </w:t>
      </w:r>
      <w:r w:rsidRPr="00B16F5A">
        <w:rPr>
          <w:color w:val="auto"/>
          <w:sz w:val="22"/>
          <w:szCs w:val="22"/>
        </w:rPr>
        <w:t>pontban felsorolt bármely segédanyagával szembeni túlérzékenység.</w:t>
      </w:r>
    </w:p>
    <w:p w14:paraId="67F6D6D0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039BD457" w14:textId="77777777" w:rsidR="000761DA" w:rsidRPr="00B16F5A" w:rsidRDefault="000761DA" w:rsidP="000761DA">
      <w:pPr>
        <w:tabs>
          <w:tab w:val="left" w:pos="567"/>
        </w:tabs>
        <w:rPr>
          <w:color w:val="auto"/>
          <w:sz w:val="22"/>
          <w:szCs w:val="22"/>
        </w:rPr>
      </w:pPr>
      <w:r w:rsidRPr="00B16F5A">
        <w:rPr>
          <w:color w:val="auto"/>
          <w:sz w:val="22"/>
          <w:szCs w:val="22"/>
        </w:rPr>
        <w:t>A szumatriptánt tilos olyan betegeknek</w:t>
      </w:r>
      <w:r w:rsidR="00AA6232" w:rsidRPr="00AA6232">
        <w:rPr>
          <w:color w:val="auto"/>
          <w:sz w:val="22"/>
          <w:szCs w:val="22"/>
        </w:rPr>
        <w:t xml:space="preserve"> </w:t>
      </w:r>
      <w:r w:rsidR="00AA6232" w:rsidRPr="00B16F5A">
        <w:rPr>
          <w:color w:val="auto"/>
          <w:sz w:val="22"/>
          <w:szCs w:val="22"/>
        </w:rPr>
        <w:t>adni</w:t>
      </w:r>
      <w:r w:rsidRPr="00B16F5A">
        <w:rPr>
          <w:color w:val="auto"/>
          <w:sz w:val="22"/>
          <w:szCs w:val="22"/>
        </w:rPr>
        <w:t>, akik myocardialis infarctuson estek át, vagy akik ischaemiás szívbetegségben, koszorúérgörcsben (Prinzmetal anginában), vagy perifériás érbetegségben szenvednek, továbbá akiknél ischaemiás szívbetegségre utaló tünetek vagy jelek észlelhetők.</w:t>
      </w:r>
    </w:p>
    <w:p w14:paraId="0C2DBADE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51667F09" w14:textId="77777777" w:rsidR="00FE2213" w:rsidRPr="007A0379" w:rsidRDefault="000761DA" w:rsidP="00771073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 szumatriptán n</w:t>
      </w:r>
      <w:r w:rsidR="00FE2213" w:rsidRPr="007A0379">
        <w:rPr>
          <w:color w:val="auto"/>
          <w:sz w:val="22"/>
          <w:szCs w:val="22"/>
        </w:rPr>
        <w:t xml:space="preserve">em adható olyan betegeknek, akik kórelőzményében cerebrovascularis történés </w:t>
      </w:r>
      <w:r>
        <w:rPr>
          <w:color w:val="auto"/>
          <w:sz w:val="22"/>
          <w:szCs w:val="22"/>
        </w:rPr>
        <w:t xml:space="preserve">(CVA) </w:t>
      </w:r>
      <w:r w:rsidR="00FE2213" w:rsidRPr="007A0379">
        <w:rPr>
          <w:color w:val="auto"/>
          <w:sz w:val="22"/>
          <w:szCs w:val="22"/>
        </w:rPr>
        <w:t>vagy átmeneti ischaemiás roham (TIA) szerepel.</w:t>
      </w:r>
    </w:p>
    <w:p w14:paraId="6424526F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607B682E" w14:textId="77777777" w:rsidR="000761DA" w:rsidRDefault="000761DA" w:rsidP="000761DA">
      <w:pPr>
        <w:tabs>
          <w:tab w:val="left" w:pos="567"/>
        </w:tabs>
        <w:rPr>
          <w:color w:val="auto"/>
          <w:sz w:val="22"/>
          <w:szCs w:val="22"/>
        </w:rPr>
      </w:pPr>
      <w:r w:rsidRPr="00B16F5A">
        <w:rPr>
          <w:color w:val="auto"/>
          <w:sz w:val="22"/>
          <w:szCs w:val="22"/>
        </w:rPr>
        <w:t>A szumatriptánt tilos adni súlyos májkárosodásban szenvedő betegeknek.</w:t>
      </w:r>
    </w:p>
    <w:p w14:paraId="79589036" w14:textId="77777777" w:rsidR="00532A71" w:rsidRPr="00B16F5A" w:rsidRDefault="00532A71" w:rsidP="000761DA">
      <w:pPr>
        <w:tabs>
          <w:tab w:val="left" w:pos="567"/>
        </w:tabs>
        <w:rPr>
          <w:color w:val="auto"/>
          <w:sz w:val="22"/>
          <w:szCs w:val="22"/>
        </w:rPr>
      </w:pPr>
    </w:p>
    <w:p w14:paraId="55A17036" w14:textId="77777777" w:rsidR="000761DA" w:rsidRPr="00B16F5A" w:rsidRDefault="000761DA" w:rsidP="000761DA">
      <w:pPr>
        <w:tabs>
          <w:tab w:val="left" w:pos="567"/>
        </w:tabs>
        <w:rPr>
          <w:color w:val="auto"/>
          <w:sz w:val="22"/>
          <w:szCs w:val="22"/>
        </w:rPr>
      </w:pPr>
      <w:r w:rsidRPr="00B16F5A">
        <w:rPr>
          <w:color w:val="auto"/>
          <w:sz w:val="22"/>
          <w:szCs w:val="22"/>
        </w:rPr>
        <w:t xml:space="preserve">A szumatriptán adása ellenjavallt középsúlyos vagy súlyos </w:t>
      </w:r>
      <w:r w:rsidR="00EE0A7A">
        <w:rPr>
          <w:color w:val="auto"/>
          <w:sz w:val="22"/>
          <w:szCs w:val="22"/>
        </w:rPr>
        <w:t>hypert</w:t>
      </w:r>
      <w:r w:rsidR="00FF3DA5">
        <w:rPr>
          <w:color w:val="auto"/>
          <w:sz w:val="22"/>
          <w:szCs w:val="22"/>
        </w:rPr>
        <w:t>onia</w:t>
      </w:r>
      <w:r w:rsidR="00EE0A7A" w:rsidRPr="002511A2">
        <w:rPr>
          <w:color w:val="auto"/>
          <w:sz w:val="22"/>
          <w:szCs w:val="22"/>
        </w:rPr>
        <w:t xml:space="preserve"> </w:t>
      </w:r>
      <w:r w:rsidRPr="00B16F5A">
        <w:rPr>
          <w:color w:val="auto"/>
          <w:sz w:val="22"/>
          <w:szCs w:val="22"/>
        </w:rPr>
        <w:t xml:space="preserve">vagy enyhe, kezeletlen </w:t>
      </w:r>
      <w:r w:rsidR="00EE0A7A">
        <w:rPr>
          <w:color w:val="auto"/>
          <w:sz w:val="22"/>
          <w:szCs w:val="22"/>
        </w:rPr>
        <w:t>hypert</w:t>
      </w:r>
      <w:r w:rsidR="00FF3DA5">
        <w:rPr>
          <w:color w:val="auto"/>
          <w:sz w:val="22"/>
          <w:szCs w:val="22"/>
        </w:rPr>
        <w:t>onia</w:t>
      </w:r>
      <w:r w:rsidR="00EE0A7A" w:rsidRPr="002511A2">
        <w:rPr>
          <w:color w:val="auto"/>
          <w:sz w:val="22"/>
          <w:szCs w:val="22"/>
        </w:rPr>
        <w:t xml:space="preserve"> </w:t>
      </w:r>
      <w:r w:rsidRPr="00B16F5A">
        <w:rPr>
          <w:color w:val="auto"/>
          <w:sz w:val="22"/>
          <w:szCs w:val="22"/>
        </w:rPr>
        <w:t>fennállása esetén.</w:t>
      </w:r>
    </w:p>
    <w:p w14:paraId="2D5AA68E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09B44E63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Nem adható egyidejűleg ergotaminnal és ergotaminszármazékokkal</w:t>
      </w:r>
      <w:r w:rsidR="005B7A53" w:rsidRPr="007A0379">
        <w:rPr>
          <w:color w:val="auto"/>
          <w:sz w:val="22"/>
          <w:szCs w:val="22"/>
        </w:rPr>
        <w:t xml:space="preserve"> (</w:t>
      </w:r>
      <w:r w:rsidRPr="007A0379">
        <w:rPr>
          <w:color w:val="auto"/>
          <w:sz w:val="22"/>
          <w:szCs w:val="22"/>
        </w:rPr>
        <w:t>köztük metiszergiddel</w:t>
      </w:r>
      <w:r w:rsidR="005B7A53" w:rsidRPr="007A0379">
        <w:rPr>
          <w:color w:val="auto"/>
          <w:sz w:val="22"/>
          <w:szCs w:val="22"/>
        </w:rPr>
        <w:t>)</w:t>
      </w:r>
      <w:r w:rsidRPr="007A0379">
        <w:rPr>
          <w:color w:val="auto"/>
          <w:sz w:val="22"/>
          <w:szCs w:val="22"/>
        </w:rPr>
        <w:t xml:space="preserve"> </w:t>
      </w:r>
      <w:r w:rsidR="000761DA" w:rsidRPr="007E703B">
        <w:rPr>
          <w:color w:val="auto"/>
          <w:sz w:val="22"/>
          <w:szCs w:val="22"/>
        </w:rPr>
        <w:t>vagy bármely triptán/5-hidroxitriptamin</w:t>
      </w:r>
      <w:r w:rsidR="000761DA" w:rsidRPr="005A300B">
        <w:rPr>
          <w:color w:val="auto"/>
          <w:sz w:val="22"/>
          <w:szCs w:val="22"/>
          <w:vertAlign w:val="subscript"/>
        </w:rPr>
        <w:t>1</w:t>
      </w:r>
      <w:r w:rsidR="000761DA" w:rsidRPr="007E703B">
        <w:rPr>
          <w:color w:val="auto"/>
          <w:sz w:val="22"/>
          <w:szCs w:val="22"/>
        </w:rPr>
        <w:t xml:space="preserve"> (5HT</w:t>
      </w:r>
      <w:r w:rsidR="000761DA" w:rsidRPr="00480E6E">
        <w:rPr>
          <w:color w:val="auto"/>
          <w:sz w:val="22"/>
          <w:szCs w:val="22"/>
          <w:vertAlign w:val="subscript"/>
        </w:rPr>
        <w:t>1</w:t>
      </w:r>
      <w:r w:rsidR="000761DA" w:rsidRPr="007E703B">
        <w:rPr>
          <w:color w:val="auto"/>
          <w:sz w:val="22"/>
          <w:szCs w:val="22"/>
        </w:rPr>
        <w:t xml:space="preserve">) receptor agonistával </w:t>
      </w:r>
      <w:r w:rsidRPr="007A0379">
        <w:rPr>
          <w:color w:val="auto"/>
          <w:sz w:val="22"/>
          <w:szCs w:val="22"/>
        </w:rPr>
        <w:t>(lásd 4.5</w:t>
      </w:r>
      <w:r w:rsidR="003B3980">
        <w:rPr>
          <w:color w:val="auto"/>
          <w:sz w:val="22"/>
          <w:szCs w:val="22"/>
        </w:rPr>
        <w:t> </w:t>
      </w:r>
      <w:r w:rsidR="000B4EEB" w:rsidRPr="007A0379">
        <w:rPr>
          <w:color w:val="auto"/>
          <w:sz w:val="22"/>
          <w:szCs w:val="22"/>
        </w:rPr>
        <w:t>pont</w:t>
      </w:r>
      <w:r w:rsidRPr="007A0379">
        <w:rPr>
          <w:color w:val="auto"/>
          <w:sz w:val="22"/>
          <w:szCs w:val="22"/>
        </w:rPr>
        <w:t>).</w:t>
      </w:r>
    </w:p>
    <w:p w14:paraId="652FD34D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76CA18AC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Nem adható egyidejűleg monoamino</w:t>
      </w:r>
      <w:r w:rsidR="008740A5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>oxidáz-</w:t>
      </w:r>
      <w:r w:rsidR="003B3980">
        <w:rPr>
          <w:color w:val="auto"/>
          <w:sz w:val="22"/>
          <w:szCs w:val="22"/>
        </w:rPr>
        <w:t>gátlókkal</w:t>
      </w:r>
      <w:r w:rsidRPr="007A0379">
        <w:rPr>
          <w:color w:val="auto"/>
          <w:sz w:val="22"/>
          <w:szCs w:val="22"/>
        </w:rPr>
        <w:t xml:space="preserve"> valamint a MAO-inhibitor kezelés leállítása után két hétig.</w:t>
      </w:r>
    </w:p>
    <w:p w14:paraId="4221674F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16852009" w14:textId="77777777" w:rsidR="00FE2213" w:rsidRPr="007A0379" w:rsidRDefault="00FE2213" w:rsidP="009F06F4">
      <w:pPr>
        <w:keepNext/>
        <w:numPr>
          <w:ilvl w:val="1"/>
          <w:numId w:val="1"/>
        </w:numPr>
        <w:tabs>
          <w:tab w:val="left" w:pos="567"/>
        </w:tabs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Különleges figyelmeztetések és az alkalmazással kapcsolatos óvintézkedések</w:t>
      </w:r>
    </w:p>
    <w:p w14:paraId="0C2AC70C" w14:textId="77777777" w:rsidR="00FE2213" w:rsidRPr="007A0379" w:rsidRDefault="00FE2213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6022DFAA" w14:textId="77777777" w:rsidR="00FE2213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CD34C1">
        <w:rPr>
          <w:color w:val="auto"/>
          <w:sz w:val="22"/>
          <w:szCs w:val="22"/>
        </w:rPr>
        <w:t xml:space="preserve">Az </w:t>
      </w:r>
      <w:r w:rsidRPr="003B3980">
        <w:rPr>
          <w:color w:val="auto"/>
          <w:sz w:val="22"/>
          <w:szCs w:val="22"/>
        </w:rPr>
        <w:t>Imigran</w:t>
      </w:r>
      <w:r w:rsidR="009D34E9">
        <w:rPr>
          <w:color w:val="auto"/>
          <w:sz w:val="22"/>
          <w:szCs w:val="22"/>
        </w:rPr>
        <w:t xml:space="preserve"> </w:t>
      </w:r>
      <w:r w:rsidR="00CD4300">
        <w:rPr>
          <w:color w:val="auto"/>
          <w:sz w:val="22"/>
          <w:szCs w:val="22"/>
        </w:rPr>
        <w:t>oldatos</w:t>
      </w:r>
      <w:r w:rsidRPr="003B3980">
        <w:rPr>
          <w:color w:val="auto"/>
          <w:sz w:val="22"/>
          <w:szCs w:val="22"/>
        </w:rPr>
        <w:t xml:space="preserve"> </w:t>
      </w:r>
      <w:r w:rsidRPr="00CD34C1">
        <w:rPr>
          <w:color w:val="auto"/>
          <w:sz w:val="22"/>
          <w:szCs w:val="22"/>
        </w:rPr>
        <w:t>injekció csak a migrén, ill</w:t>
      </w:r>
      <w:r w:rsidR="00CD34C1">
        <w:rPr>
          <w:color w:val="auto"/>
          <w:sz w:val="22"/>
          <w:szCs w:val="22"/>
        </w:rPr>
        <w:t>etve</w:t>
      </w:r>
      <w:r w:rsidRPr="00CD34C1">
        <w:rPr>
          <w:color w:val="auto"/>
          <w:sz w:val="22"/>
          <w:szCs w:val="22"/>
        </w:rPr>
        <w:t xml:space="preserve"> a cluster fejfájás egyértelmű diagnózisa esetén alkalmazható.</w:t>
      </w:r>
    </w:p>
    <w:p w14:paraId="34EB6176" w14:textId="77777777" w:rsidR="00925976" w:rsidRDefault="00925976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4506CA80" w14:textId="77777777" w:rsidR="00FE2213" w:rsidRPr="00CD34C1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3B3980">
        <w:rPr>
          <w:color w:val="auto"/>
          <w:sz w:val="22"/>
          <w:szCs w:val="22"/>
        </w:rPr>
        <w:t>Az Imigran</w:t>
      </w:r>
      <w:r w:rsidR="00CD4300">
        <w:rPr>
          <w:color w:val="auto"/>
          <w:sz w:val="22"/>
          <w:szCs w:val="22"/>
        </w:rPr>
        <w:t xml:space="preserve"> oldatos</w:t>
      </w:r>
      <w:r w:rsidRPr="003B3980">
        <w:rPr>
          <w:i/>
          <w:color w:val="auto"/>
          <w:sz w:val="22"/>
          <w:szCs w:val="22"/>
        </w:rPr>
        <w:t xml:space="preserve"> </w:t>
      </w:r>
      <w:r w:rsidRPr="00CD34C1">
        <w:rPr>
          <w:color w:val="auto"/>
          <w:sz w:val="22"/>
          <w:szCs w:val="22"/>
        </w:rPr>
        <w:t>injekció i</w:t>
      </w:r>
      <w:r w:rsidR="00AA6232">
        <w:rPr>
          <w:color w:val="auto"/>
          <w:sz w:val="22"/>
          <w:szCs w:val="22"/>
        </w:rPr>
        <w:t>ntra</w:t>
      </w:r>
      <w:r w:rsidRPr="00CD34C1">
        <w:rPr>
          <w:color w:val="auto"/>
          <w:sz w:val="22"/>
          <w:szCs w:val="22"/>
        </w:rPr>
        <w:t>v</w:t>
      </w:r>
      <w:r w:rsidR="00AA6232">
        <w:rPr>
          <w:color w:val="auto"/>
          <w:sz w:val="22"/>
          <w:szCs w:val="22"/>
        </w:rPr>
        <w:t>énásan</w:t>
      </w:r>
      <w:r w:rsidRPr="00CD34C1">
        <w:rPr>
          <w:color w:val="auto"/>
          <w:sz w:val="22"/>
          <w:szCs w:val="22"/>
        </w:rPr>
        <w:t xml:space="preserve"> nem alkalmazható.</w:t>
      </w:r>
    </w:p>
    <w:p w14:paraId="30937A26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24C1E1FE" w14:textId="77777777" w:rsidR="00FE2213" w:rsidRPr="007A0379" w:rsidRDefault="00FE2213" w:rsidP="00CD34C1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szumatriptán adása nem javasolt hemiplegiás, basilaris vagy ophthalmoplegiás migrénben.</w:t>
      </w:r>
    </w:p>
    <w:p w14:paraId="3D078D1D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65BD6215" w14:textId="77777777" w:rsidR="00296291" w:rsidRDefault="00AA53E8" w:rsidP="00771073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Az </w:t>
      </w:r>
      <w:r w:rsidR="00FE2213" w:rsidRPr="007A0379">
        <w:rPr>
          <w:color w:val="auto"/>
          <w:sz w:val="22"/>
          <w:szCs w:val="22"/>
        </w:rPr>
        <w:t>Imigran</w:t>
      </w:r>
      <w:r w:rsidR="003A6202">
        <w:rPr>
          <w:color w:val="auto"/>
          <w:sz w:val="22"/>
          <w:szCs w:val="22"/>
        </w:rPr>
        <w:noBreakHyphen/>
      </w:r>
      <w:r w:rsidR="00FE2213" w:rsidRPr="007A0379">
        <w:rPr>
          <w:color w:val="auto"/>
          <w:sz w:val="22"/>
          <w:szCs w:val="22"/>
        </w:rPr>
        <w:t xml:space="preserve">kezelés előtt ki kell zárni </w:t>
      </w:r>
      <w:r w:rsidR="00AA6232">
        <w:rPr>
          <w:color w:val="auto"/>
          <w:sz w:val="22"/>
          <w:szCs w:val="22"/>
        </w:rPr>
        <w:t>a</w:t>
      </w:r>
      <w:r w:rsidR="00FE2213" w:rsidRPr="007A0379">
        <w:rPr>
          <w:color w:val="auto"/>
          <w:sz w:val="22"/>
          <w:szCs w:val="22"/>
        </w:rPr>
        <w:t xml:space="preserve"> potenciálisan súlyos neurológiai betegségeket</w:t>
      </w:r>
      <w:r w:rsidR="00E062E9">
        <w:rPr>
          <w:color w:val="auto"/>
          <w:sz w:val="22"/>
          <w:szCs w:val="22"/>
        </w:rPr>
        <w:t xml:space="preserve"> (pl. </w:t>
      </w:r>
      <w:r w:rsidR="00AA5B62">
        <w:rPr>
          <w:color w:val="auto"/>
          <w:sz w:val="22"/>
          <w:szCs w:val="22"/>
        </w:rPr>
        <w:t>stroke</w:t>
      </w:r>
      <w:r w:rsidR="00E062E9">
        <w:rPr>
          <w:color w:val="auto"/>
          <w:sz w:val="22"/>
          <w:szCs w:val="22"/>
        </w:rPr>
        <w:t xml:space="preserve">, </w:t>
      </w:r>
      <w:r w:rsidR="005B7C0A">
        <w:rPr>
          <w:color w:val="auto"/>
          <w:sz w:val="22"/>
          <w:szCs w:val="22"/>
        </w:rPr>
        <w:t>tranziens ischaemiás attack</w:t>
      </w:r>
      <w:r w:rsidR="00E062E9">
        <w:rPr>
          <w:color w:val="auto"/>
          <w:sz w:val="22"/>
          <w:szCs w:val="22"/>
        </w:rPr>
        <w:t xml:space="preserve">), </w:t>
      </w:r>
      <w:r w:rsidR="00CD4300">
        <w:rPr>
          <w:color w:val="auto"/>
          <w:sz w:val="22"/>
          <w:szCs w:val="22"/>
        </w:rPr>
        <w:t>ha a betegnél atípusos tünetek jelentkeznek, vagy még nem áll rendelkezésre megfelelő diagnózis a szumatriptán alkalmazásához</w:t>
      </w:r>
      <w:r w:rsidR="00FE2213" w:rsidRPr="00E062E9">
        <w:rPr>
          <w:color w:val="auto"/>
          <w:sz w:val="22"/>
          <w:szCs w:val="22"/>
        </w:rPr>
        <w:t>.</w:t>
      </w:r>
      <w:r w:rsidR="00FE2213" w:rsidRPr="007A0379">
        <w:rPr>
          <w:color w:val="auto"/>
          <w:sz w:val="22"/>
          <w:szCs w:val="22"/>
        </w:rPr>
        <w:t xml:space="preserve"> </w:t>
      </w:r>
    </w:p>
    <w:p w14:paraId="2D68A396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225870CF" w14:textId="77777777" w:rsidR="00480E6E" w:rsidRDefault="00FE2213" w:rsidP="009D34E9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szumatriptán alkalmazását követően átmeneti tünetként felléphet mellkasi fájdalom és szorító érzés, mely esetenként intenzív lehet és a torok</w:t>
      </w:r>
      <w:r w:rsidR="00EE0A7A">
        <w:rPr>
          <w:color w:val="auto"/>
          <w:sz w:val="22"/>
          <w:szCs w:val="22"/>
        </w:rPr>
        <w:t>ba is sugározhat</w:t>
      </w:r>
      <w:r w:rsidRPr="007A0379">
        <w:rPr>
          <w:color w:val="auto"/>
          <w:sz w:val="22"/>
          <w:szCs w:val="22"/>
        </w:rPr>
        <w:t xml:space="preserve"> (lásd 4.8</w:t>
      </w:r>
      <w:r w:rsidR="00711BED">
        <w:rPr>
          <w:color w:val="auto"/>
          <w:sz w:val="22"/>
          <w:szCs w:val="22"/>
        </w:rPr>
        <w:t> </w:t>
      </w:r>
      <w:r w:rsidR="00556DCB" w:rsidRPr="007A0379">
        <w:rPr>
          <w:color w:val="auto"/>
          <w:sz w:val="22"/>
          <w:szCs w:val="22"/>
        </w:rPr>
        <w:t>pont</w:t>
      </w:r>
      <w:r w:rsidRPr="007A0379">
        <w:rPr>
          <w:color w:val="auto"/>
          <w:sz w:val="22"/>
          <w:szCs w:val="22"/>
        </w:rPr>
        <w:t xml:space="preserve">). Ha ezek a tünetek ischaemiás </w:t>
      </w:r>
      <w:r w:rsidRPr="007A0379">
        <w:rPr>
          <w:color w:val="auto"/>
          <w:sz w:val="22"/>
          <w:szCs w:val="22"/>
        </w:rPr>
        <w:lastRenderedPageBreak/>
        <w:t xml:space="preserve">szívbetegségre utalnak, </w:t>
      </w:r>
      <w:r w:rsidR="00296291">
        <w:rPr>
          <w:color w:val="auto"/>
          <w:sz w:val="22"/>
          <w:szCs w:val="22"/>
        </w:rPr>
        <w:t xml:space="preserve">a </w:t>
      </w:r>
      <w:r w:rsidR="00482AB2">
        <w:rPr>
          <w:color w:val="auto"/>
          <w:sz w:val="22"/>
          <w:szCs w:val="22"/>
        </w:rPr>
        <w:t>szumatriptán</w:t>
      </w:r>
      <w:r w:rsidR="00296291">
        <w:rPr>
          <w:color w:val="auto"/>
          <w:sz w:val="22"/>
          <w:szCs w:val="22"/>
        </w:rPr>
        <w:t xml:space="preserve"> </w:t>
      </w:r>
      <w:r w:rsidR="00296291" w:rsidRPr="00EB6DE5">
        <w:rPr>
          <w:color w:val="auto"/>
          <w:sz w:val="22"/>
          <w:szCs w:val="22"/>
        </w:rPr>
        <w:t xml:space="preserve">további </w:t>
      </w:r>
      <w:r w:rsidR="00296291">
        <w:rPr>
          <w:color w:val="auto"/>
          <w:sz w:val="22"/>
          <w:szCs w:val="22"/>
        </w:rPr>
        <w:t>alkalmazását</w:t>
      </w:r>
      <w:r w:rsidR="00296291" w:rsidRPr="00EB6DE5">
        <w:rPr>
          <w:color w:val="auto"/>
          <w:sz w:val="22"/>
          <w:szCs w:val="22"/>
        </w:rPr>
        <w:t xml:space="preserve"> le kell állítani,</w:t>
      </w:r>
      <w:r w:rsidR="00880A8C">
        <w:rPr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a beteget gondosan ki kell vizsgálni.</w:t>
      </w:r>
    </w:p>
    <w:p w14:paraId="35EC7B55" w14:textId="77777777" w:rsidR="00480E6E" w:rsidRDefault="00480E6E" w:rsidP="009D34E9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</w:p>
    <w:p w14:paraId="4C444651" w14:textId="77777777" w:rsidR="009D34E9" w:rsidRDefault="009D34E9" w:rsidP="009D34E9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  <w:r w:rsidRPr="00CD34C1">
        <w:rPr>
          <w:color w:val="auto"/>
          <w:sz w:val="22"/>
          <w:szCs w:val="22"/>
        </w:rPr>
        <w:t xml:space="preserve">A szumatriptán nem rendelhető olyan betegeknek, akiknél az ischaemiás szívbetegség kockázati tényezői </w:t>
      </w:r>
      <w:r w:rsidR="00093A49">
        <w:rPr>
          <w:color w:val="auto"/>
          <w:sz w:val="22"/>
          <w:szCs w:val="22"/>
        </w:rPr>
        <w:t>fennállnak</w:t>
      </w:r>
      <w:r w:rsidRPr="00CD34C1">
        <w:rPr>
          <w:color w:val="auto"/>
          <w:sz w:val="22"/>
          <w:szCs w:val="22"/>
        </w:rPr>
        <w:t>, köztük előzetes szív- és érrendszeri vizsgálat nélkül erős dohányosoknak vagy nikotinpótló kezelésben részesülő betegeknek (lásd 4.3 pont). Fokozott gondosság ajánlott posztmenopauzás nők és 40</w:t>
      </w:r>
      <w:r w:rsidR="00A95CC6">
        <w:rPr>
          <w:color w:val="auto"/>
          <w:sz w:val="22"/>
          <w:szCs w:val="22"/>
        </w:rPr>
        <w:t> </w:t>
      </w:r>
      <w:r w:rsidRPr="00CD34C1">
        <w:rPr>
          <w:color w:val="auto"/>
          <w:sz w:val="22"/>
          <w:szCs w:val="22"/>
        </w:rPr>
        <w:t>évesnél idősebb férfiak esetében, ha az említett kockázati tényezők fennállnak. Ezekkel a vizsgálatokkal azonban nem szűrhető ki minden olyan beteg, akinek szívbetegsége van, és nagyon ritkán előfordultak súlyos cardialis események olyan betegekben is, akiknél szív-ér</w:t>
      </w:r>
      <w:r w:rsidR="00AA5B62">
        <w:rPr>
          <w:color w:val="auto"/>
          <w:sz w:val="22"/>
          <w:szCs w:val="22"/>
        </w:rPr>
        <w:t xml:space="preserve"> </w:t>
      </w:r>
      <w:r w:rsidRPr="00CD34C1">
        <w:rPr>
          <w:color w:val="auto"/>
          <w:sz w:val="22"/>
          <w:szCs w:val="22"/>
        </w:rPr>
        <w:t>rendszeri betegséget korábban nem diagnosztizáltak.</w:t>
      </w:r>
    </w:p>
    <w:p w14:paraId="724A747A" w14:textId="77777777" w:rsidR="003B5854" w:rsidRDefault="003B5854" w:rsidP="00296291">
      <w:pPr>
        <w:tabs>
          <w:tab w:val="left" w:pos="567"/>
        </w:tabs>
        <w:rPr>
          <w:color w:val="auto"/>
          <w:sz w:val="22"/>
          <w:szCs w:val="22"/>
        </w:rPr>
      </w:pPr>
    </w:p>
    <w:p w14:paraId="2D637178" w14:textId="77777777" w:rsidR="00296291" w:rsidRPr="00EB6DE5" w:rsidRDefault="00296291" w:rsidP="00296291">
      <w:pPr>
        <w:tabs>
          <w:tab w:val="left" w:pos="567"/>
        </w:tabs>
        <w:rPr>
          <w:color w:val="auto"/>
          <w:sz w:val="22"/>
          <w:szCs w:val="22"/>
        </w:rPr>
      </w:pPr>
      <w:r w:rsidRPr="00EB6DE5">
        <w:rPr>
          <w:color w:val="auto"/>
          <w:sz w:val="22"/>
          <w:szCs w:val="22"/>
        </w:rPr>
        <w:t>A szumatriptán ó</w:t>
      </w:r>
      <w:r>
        <w:rPr>
          <w:color w:val="auto"/>
          <w:sz w:val="22"/>
          <w:szCs w:val="22"/>
        </w:rPr>
        <w:t>v</w:t>
      </w:r>
      <w:r w:rsidRPr="00EB6DE5">
        <w:rPr>
          <w:color w:val="auto"/>
          <w:sz w:val="22"/>
          <w:szCs w:val="22"/>
        </w:rPr>
        <w:t xml:space="preserve">atosan adható enyhe, kontrollált </w:t>
      </w:r>
      <w:r w:rsidR="00EE0A7A">
        <w:rPr>
          <w:color w:val="auto"/>
          <w:sz w:val="22"/>
          <w:szCs w:val="22"/>
        </w:rPr>
        <w:t>hypert</w:t>
      </w:r>
      <w:r w:rsidR="00FF3DA5">
        <w:rPr>
          <w:color w:val="auto"/>
          <w:sz w:val="22"/>
          <w:szCs w:val="22"/>
        </w:rPr>
        <w:t>oniába</w:t>
      </w:r>
      <w:r w:rsidR="00EE0A7A">
        <w:rPr>
          <w:color w:val="auto"/>
          <w:sz w:val="22"/>
          <w:szCs w:val="22"/>
        </w:rPr>
        <w:t xml:space="preserve">n </w:t>
      </w:r>
      <w:r>
        <w:rPr>
          <w:color w:val="auto"/>
          <w:sz w:val="22"/>
          <w:szCs w:val="22"/>
        </w:rPr>
        <w:t>szenvedő</w:t>
      </w:r>
      <w:r w:rsidRPr="00EB6DE5">
        <w:rPr>
          <w:color w:val="auto"/>
          <w:sz w:val="22"/>
          <w:szCs w:val="22"/>
        </w:rPr>
        <w:t xml:space="preserve"> betegeknek, mivel e betegek kis részénél a vérnyomás és a perifériás érellenállás átmeneti emel</w:t>
      </w:r>
      <w:r>
        <w:rPr>
          <w:color w:val="auto"/>
          <w:sz w:val="22"/>
          <w:szCs w:val="22"/>
        </w:rPr>
        <w:t>kedését figyelték meg (lásd 4.3 </w:t>
      </w:r>
      <w:r w:rsidRPr="00EB6DE5">
        <w:rPr>
          <w:color w:val="auto"/>
          <w:sz w:val="22"/>
          <w:szCs w:val="22"/>
        </w:rPr>
        <w:t>pont).</w:t>
      </w:r>
    </w:p>
    <w:p w14:paraId="5B04D9E4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6427DCBD" w14:textId="77777777" w:rsidR="00681584" w:rsidRPr="007A0379" w:rsidRDefault="00681584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forgalomba hozatal után ritkán jelentettek szerotonin</w:t>
      </w:r>
      <w:r w:rsidR="00AA5B62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>szindrómát (</w:t>
      </w:r>
      <w:r w:rsidR="00296291">
        <w:rPr>
          <w:color w:val="auto"/>
          <w:sz w:val="22"/>
          <w:szCs w:val="22"/>
        </w:rPr>
        <w:t xml:space="preserve">köztük </w:t>
      </w:r>
      <w:r w:rsidRPr="007A0379">
        <w:rPr>
          <w:color w:val="auto"/>
          <w:sz w:val="22"/>
          <w:szCs w:val="22"/>
        </w:rPr>
        <w:t xml:space="preserve">a mentális állapot megváltozását, </w:t>
      </w:r>
      <w:r w:rsidR="007A0379" w:rsidRPr="007A0379">
        <w:rPr>
          <w:color w:val="auto"/>
          <w:sz w:val="22"/>
          <w:szCs w:val="22"/>
        </w:rPr>
        <w:t xml:space="preserve">vegetatív </w:t>
      </w:r>
      <w:r w:rsidRPr="007A0379">
        <w:rPr>
          <w:color w:val="auto"/>
          <w:sz w:val="22"/>
          <w:szCs w:val="22"/>
        </w:rPr>
        <w:t>instabilitást és neuromuscularis rendellenességeket) olyan betegeknél, akik szelektív szerotonin</w:t>
      </w:r>
      <w:r w:rsidR="00AA5B62">
        <w:rPr>
          <w:color w:val="auto"/>
          <w:sz w:val="22"/>
          <w:szCs w:val="22"/>
        </w:rPr>
        <w:t>visszavétel</w:t>
      </w:r>
      <w:r w:rsidR="00236666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>gátlót (SSRI) és szumatriptánt kaptak. Szerotonin</w:t>
      </w:r>
      <w:r w:rsidR="004360D1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>szindrómát a triptánok és szerotonin</w:t>
      </w:r>
      <w:r w:rsidR="00AA5B62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 xml:space="preserve">noradrenalin </w:t>
      </w:r>
      <w:r w:rsidR="00AA5B62">
        <w:rPr>
          <w:color w:val="auto"/>
          <w:sz w:val="22"/>
          <w:szCs w:val="22"/>
        </w:rPr>
        <w:t>visszavétel</w:t>
      </w:r>
      <w:r w:rsidRPr="007A0379">
        <w:rPr>
          <w:color w:val="auto"/>
          <w:sz w:val="22"/>
          <w:szCs w:val="22"/>
        </w:rPr>
        <w:t>gátlók (SNRI-k) egyidejű alkalmazása során tapasztaltak.</w:t>
      </w:r>
      <w:r w:rsidR="00FE2213" w:rsidRPr="007A0379">
        <w:rPr>
          <w:color w:val="auto"/>
          <w:sz w:val="22"/>
          <w:szCs w:val="22"/>
        </w:rPr>
        <w:t xml:space="preserve"> </w:t>
      </w:r>
    </w:p>
    <w:p w14:paraId="684C217D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Ha szumatriptán és SSRI</w:t>
      </w:r>
      <w:r w:rsidR="00681584" w:rsidRPr="007A0379">
        <w:rPr>
          <w:color w:val="auto"/>
          <w:sz w:val="22"/>
          <w:szCs w:val="22"/>
        </w:rPr>
        <w:t>/SNRI</w:t>
      </w:r>
      <w:r w:rsidRPr="007A0379">
        <w:rPr>
          <w:color w:val="auto"/>
          <w:sz w:val="22"/>
          <w:szCs w:val="22"/>
        </w:rPr>
        <w:t xml:space="preserve"> egyidejű alkalmazása klinikailag indokolt, a beteg gondos megfigyelése szükséges (lásd 4.5</w:t>
      </w:r>
      <w:r w:rsidR="00296291">
        <w:rPr>
          <w:color w:val="auto"/>
          <w:sz w:val="22"/>
          <w:szCs w:val="22"/>
        </w:rPr>
        <w:t> </w:t>
      </w:r>
      <w:r w:rsidR="008428C6">
        <w:rPr>
          <w:color w:val="auto"/>
          <w:sz w:val="22"/>
          <w:szCs w:val="22"/>
        </w:rPr>
        <w:t>pont</w:t>
      </w:r>
      <w:r w:rsidRPr="007A0379">
        <w:rPr>
          <w:color w:val="auto"/>
          <w:sz w:val="22"/>
          <w:szCs w:val="22"/>
        </w:rPr>
        <w:t>).</w:t>
      </w:r>
    </w:p>
    <w:p w14:paraId="4BADA8A7" w14:textId="77777777" w:rsidR="00681584" w:rsidRPr="007A0379" w:rsidRDefault="00681584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602BEC40" w14:textId="77777777" w:rsidR="00FE2213" w:rsidRPr="003E1A0E" w:rsidRDefault="00296291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3E1A0E">
        <w:rPr>
          <w:color w:val="auto"/>
          <w:sz w:val="22"/>
          <w:szCs w:val="22"/>
        </w:rPr>
        <w:t>A szumatriptán f</w:t>
      </w:r>
      <w:r w:rsidR="00FE2213" w:rsidRPr="003E1A0E">
        <w:rPr>
          <w:color w:val="auto"/>
          <w:sz w:val="22"/>
          <w:szCs w:val="22"/>
        </w:rPr>
        <w:t>okozott elővigyázatossággal alkalmazható a gyógyszerek felszívódását, metabolizmusát vagy kiválasztását befolyásoló betegségekben</w:t>
      </w:r>
      <w:r w:rsidR="004D5427">
        <w:rPr>
          <w:color w:val="auto"/>
          <w:sz w:val="22"/>
          <w:szCs w:val="22"/>
        </w:rPr>
        <w:t>,</w:t>
      </w:r>
      <w:r w:rsidR="00FE2213" w:rsidRPr="003E1A0E">
        <w:rPr>
          <w:color w:val="auto"/>
          <w:sz w:val="22"/>
          <w:szCs w:val="22"/>
        </w:rPr>
        <w:t xml:space="preserve"> pl. csökkent máj- </w:t>
      </w:r>
      <w:r w:rsidR="00E062E9" w:rsidRPr="003B5854">
        <w:rPr>
          <w:rStyle w:val="CSIchar"/>
          <w:color w:val="auto"/>
          <w:sz w:val="22"/>
          <w:szCs w:val="22"/>
          <w:shd w:val="clear" w:color="auto" w:fill="FFFFFF"/>
        </w:rPr>
        <w:t>(</w:t>
      </w:r>
      <w:r w:rsidR="00E062E9" w:rsidRPr="003B5854">
        <w:rPr>
          <w:rStyle w:val="CSIchar"/>
          <w:i/>
          <w:color w:val="auto"/>
          <w:sz w:val="22"/>
          <w:szCs w:val="22"/>
          <w:shd w:val="clear" w:color="auto" w:fill="FFFFFF"/>
        </w:rPr>
        <w:t>Child</w:t>
      </w:r>
      <w:r w:rsidR="003305DC">
        <w:rPr>
          <w:rStyle w:val="CSIchar"/>
          <w:i/>
          <w:color w:val="auto"/>
          <w:sz w:val="22"/>
          <w:szCs w:val="22"/>
          <w:shd w:val="clear" w:color="auto" w:fill="FFFFFF"/>
        </w:rPr>
        <w:t>–</w:t>
      </w:r>
      <w:r w:rsidR="00E062E9" w:rsidRPr="003B5854">
        <w:rPr>
          <w:rStyle w:val="CSIchar"/>
          <w:i/>
          <w:color w:val="auto"/>
          <w:sz w:val="22"/>
          <w:szCs w:val="22"/>
          <w:shd w:val="clear" w:color="auto" w:fill="FFFFFF"/>
        </w:rPr>
        <w:t xml:space="preserve">Pugh </w:t>
      </w:r>
      <w:r w:rsidR="009C7DC8" w:rsidRPr="003B5854">
        <w:rPr>
          <w:rStyle w:val="CSIchar"/>
          <w:i/>
          <w:color w:val="auto"/>
          <w:sz w:val="22"/>
          <w:szCs w:val="22"/>
          <w:shd w:val="clear" w:color="auto" w:fill="FFFFFF"/>
        </w:rPr>
        <w:t>A vagy B stádium</w:t>
      </w:r>
      <w:r w:rsidR="00093A49">
        <w:rPr>
          <w:rStyle w:val="CSIchar"/>
          <w:i/>
          <w:color w:val="auto"/>
          <w:sz w:val="22"/>
          <w:szCs w:val="22"/>
          <w:shd w:val="clear" w:color="auto" w:fill="FFFFFF"/>
        </w:rPr>
        <w:t>,</w:t>
      </w:r>
      <w:r w:rsidR="009C7DC8" w:rsidRPr="003B5854">
        <w:rPr>
          <w:rStyle w:val="CSIchar"/>
          <w:i/>
          <w:color w:val="auto"/>
          <w:sz w:val="22"/>
          <w:szCs w:val="22"/>
          <w:shd w:val="clear" w:color="auto" w:fill="FFFFFF"/>
        </w:rPr>
        <w:t xml:space="preserve"> lásd 5.2 pont</w:t>
      </w:r>
      <w:r w:rsidR="00E062E9" w:rsidRPr="003B5854">
        <w:rPr>
          <w:rStyle w:val="CSIchar"/>
          <w:i/>
          <w:color w:val="auto"/>
          <w:sz w:val="22"/>
          <w:szCs w:val="22"/>
          <w:shd w:val="clear" w:color="auto" w:fill="FFFFFF"/>
        </w:rPr>
        <w:t xml:space="preserve"> – </w:t>
      </w:r>
      <w:r w:rsidR="009C7DC8" w:rsidRPr="003B5854">
        <w:rPr>
          <w:rStyle w:val="CSIchar"/>
          <w:i/>
          <w:color w:val="auto"/>
          <w:sz w:val="22"/>
          <w:szCs w:val="22"/>
          <w:shd w:val="clear" w:color="auto" w:fill="FFFFFF"/>
        </w:rPr>
        <w:t>Speciális betegcsoportok</w:t>
      </w:r>
      <w:r w:rsidR="00E062E9" w:rsidRPr="003B5854">
        <w:rPr>
          <w:rStyle w:val="CSIchar"/>
          <w:color w:val="auto"/>
          <w:sz w:val="22"/>
          <w:szCs w:val="22"/>
          <w:shd w:val="clear" w:color="auto" w:fill="FFFFFF"/>
        </w:rPr>
        <w:t>)</w:t>
      </w:r>
      <w:r w:rsidR="00E062E9" w:rsidRPr="003B5854">
        <w:rPr>
          <w:rStyle w:val="CSIchar"/>
          <w:i/>
          <w:color w:val="auto"/>
          <w:sz w:val="22"/>
          <w:szCs w:val="22"/>
          <w:shd w:val="clear" w:color="auto" w:fill="FFFFFF"/>
        </w:rPr>
        <w:t xml:space="preserve"> </w:t>
      </w:r>
      <w:r w:rsidR="00FE2213" w:rsidRPr="003E1A0E">
        <w:rPr>
          <w:color w:val="auto"/>
          <w:sz w:val="22"/>
          <w:szCs w:val="22"/>
        </w:rPr>
        <w:t>vagy vesefunkció</w:t>
      </w:r>
      <w:r w:rsidR="00711BED">
        <w:rPr>
          <w:color w:val="auto"/>
          <w:sz w:val="22"/>
          <w:szCs w:val="22"/>
        </w:rPr>
        <w:t xml:space="preserve"> esetén</w:t>
      </w:r>
      <w:r w:rsidR="00E062E9" w:rsidRPr="003E1A0E">
        <w:rPr>
          <w:color w:val="auto"/>
          <w:sz w:val="22"/>
          <w:szCs w:val="22"/>
        </w:rPr>
        <w:t xml:space="preserve"> (lásd 5.2 pont)</w:t>
      </w:r>
      <w:r w:rsidR="00FE2213" w:rsidRPr="003E1A0E">
        <w:rPr>
          <w:color w:val="auto"/>
          <w:sz w:val="22"/>
          <w:szCs w:val="22"/>
        </w:rPr>
        <w:t>.</w:t>
      </w:r>
    </w:p>
    <w:p w14:paraId="10134E6F" w14:textId="77777777" w:rsidR="00FE2213" w:rsidRPr="003E1A0E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4FB4C37A" w14:textId="77777777" w:rsidR="00FE2213" w:rsidRPr="007A0379" w:rsidRDefault="0094678B" w:rsidP="00771073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 szumatriptán ó</w:t>
      </w:r>
      <w:r w:rsidR="00FE2213" w:rsidRPr="007A0379">
        <w:rPr>
          <w:color w:val="auto"/>
          <w:sz w:val="22"/>
          <w:szCs w:val="22"/>
        </w:rPr>
        <w:t>vatosan adható olyan betegeknek, akiknek anamnézisében epileps</w:t>
      </w:r>
      <w:r w:rsidR="0079474C" w:rsidRPr="007A0379">
        <w:rPr>
          <w:color w:val="auto"/>
          <w:sz w:val="22"/>
          <w:szCs w:val="22"/>
        </w:rPr>
        <w:t>z</w:t>
      </w:r>
      <w:r w:rsidR="00FE2213" w:rsidRPr="007A0379">
        <w:rPr>
          <w:color w:val="auto"/>
          <w:sz w:val="22"/>
          <w:szCs w:val="22"/>
        </w:rPr>
        <w:t>ia, illetve a görcsküszöböt csökkentő agykárosodás szerepel</w:t>
      </w:r>
      <w:r>
        <w:rPr>
          <w:color w:val="auto"/>
          <w:sz w:val="22"/>
          <w:szCs w:val="22"/>
        </w:rPr>
        <w:t xml:space="preserve">, </w:t>
      </w:r>
      <w:r w:rsidRPr="00EB6DE5">
        <w:rPr>
          <w:color w:val="auto"/>
          <w:sz w:val="22"/>
          <w:szCs w:val="22"/>
        </w:rPr>
        <w:t xml:space="preserve">mert a szumatriptán alkalmazásával összefüggésben </w:t>
      </w:r>
      <w:r>
        <w:rPr>
          <w:color w:val="auto"/>
          <w:sz w:val="22"/>
          <w:szCs w:val="22"/>
        </w:rPr>
        <w:t>görcsöket jelentettek (lásd 4.8 </w:t>
      </w:r>
      <w:r w:rsidRPr="00EB6DE5">
        <w:rPr>
          <w:color w:val="auto"/>
          <w:sz w:val="22"/>
          <w:szCs w:val="22"/>
        </w:rPr>
        <w:t>pont).</w:t>
      </w:r>
    </w:p>
    <w:p w14:paraId="64BC0047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1B637F48" w14:textId="77777777" w:rsidR="00FE2213" w:rsidRDefault="00FE2213" w:rsidP="00771073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Szulfonamidokra túlérzékeny betegekben a </w:t>
      </w:r>
      <w:r w:rsidR="0094678B">
        <w:rPr>
          <w:color w:val="auto"/>
          <w:sz w:val="22"/>
          <w:szCs w:val="22"/>
        </w:rPr>
        <w:t xml:space="preserve">szumatriptán </w:t>
      </w:r>
      <w:r w:rsidRPr="007A0379">
        <w:rPr>
          <w:color w:val="auto"/>
          <w:sz w:val="22"/>
          <w:szCs w:val="22"/>
        </w:rPr>
        <w:t>is túlérzékenységi reakciókat okozhat. Ezek súlyossága a bőrre</w:t>
      </w:r>
      <w:r w:rsidR="00FF0B81">
        <w:rPr>
          <w:color w:val="auto"/>
          <w:sz w:val="22"/>
          <w:szCs w:val="22"/>
        </w:rPr>
        <w:t>a</w:t>
      </w:r>
      <w:r w:rsidRPr="007A0379">
        <w:rPr>
          <w:color w:val="auto"/>
          <w:sz w:val="22"/>
          <w:szCs w:val="22"/>
        </w:rPr>
        <w:t>kcióktól az ana</w:t>
      </w:r>
      <w:r w:rsidR="0079474C" w:rsidRPr="007A0379">
        <w:rPr>
          <w:color w:val="auto"/>
          <w:sz w:val="22"/>
          <w:szCs w:val="22"/>
        </w:rPr>
        <w:t>fi</w:t>
      </w:r>
      <w:r w:rsidRPr="007A0379">
        <w:rPr>
          <w:color w:val="auto"/>
          <w:sz w:val="22"/>
          <w:szCs w:val="22"/>
        </w:rPr>
        <w:t>laxiáig változhat. A keresztreakció fennállására kevés a bizonyíték, de ezeknek a betegeknek szumatriptán csak elővigyázatos</w:t>
      </w:r>
      <w:r w:rsidR="00711BED">
        <w:rPr>
          <w:color w:val="auto"/>
          <w:sz w:val="22"/>
          <w:szCs w:val="22"/>
        </w:rPr>
        <w:t>sággal</w:t>
      </w:r>
      <w:r w:rsidRPr="007A0379">
        <w:rPr>
          <w:color w:val="auto"/>
          <w:sz w:val="22"/>
          <w:szCs w:val="22"/>
        </w:rPr>
        <w:t xml:space="preserve"> adható.</w:t>
      </w:r>
    </w:p>
    <w:p w14:paraId="5316BEAD" w14:textId="77777777" w:rsidR="0094678B" w:rsidRPr="007A0379" w:rsidRDefault="0094678B" w:rsidP="00771073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</w:p>
    <w:p w14:paraId="2A9DE4AA" w14:textId="77777777" w:rsidR="00FE2213" w:rsidRPr="007A0379" w:rsidRDefault="0094678B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CD34C1">
        <w:rPr>
          <w:color w:val="auto"/>
          <w:sz w:val="22"/>
          <w:szCs w:val="22"/>
        </w:rPr>
        <w:t>A triptánok és orbáncfüvet (</w:t>
      </w:r>
      <w:r w:rsidRPr="00076689">
        <w:rPr>
          <w:i/>
          <w:color w:val="auto"/>
          <w:sz w:val="22"/>
          <w:szCs w:val="22"/>
        </w:rPr>
        <w:t>Hypericum perforatum</w:t>
      </w:r>
      <w:r w:rsidRPr="00CD34C1">
        <w:rPr>
          <w:color w:val="auto"/>
          <w:sz w:val="22"/>
          <w:szCs w:val="22"/>
        </w:rPr>
        <w:t>) tartalmazó növényi készítmények egyidejű alkalmazása során gyakrabban fordulnak elő mellékhatások.</w:t>
      </w:r>
    </w:p>
    <w:p w14:paraId="065A243B" w14:textId="77777777" w:rsidR="0094678B" w:rsidRDefault="0094678B" w:rsidP="00771073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</w:p>
    <w:p w14:paraId="4B2C9013" w14:textId="77777777" w:rsidR="003B3980" w:rsidRDefault="007743FA" w:rsidP="003B5854">
      <w:pPr>
        <w:tabs>
          <w:tab w:val="left" w:pos="567"/>
        </w:tabs>
        <w:rPr>
          <w:color w:val="auto"/>
          <w:sz w:val="22"/>
          <w:szCs w:val="22"/>
        </w:rPr>
      </w:pPr>
      <w:r w:rsidRPr="00CD34C1">
        <w:rPr>
          <w:color w:val="auto"/>
          <w:sz w:val="22"/>
          <w:szCs w:val="22"/>
        </w:rPr>
        <w:t>A fejfájás csillapítására szolgáló bármilyen típusú gyógyszer hosszan tartó alkalmazása az állapot rosszabbodásához vezethet. Amennyiben ez tapasztalható vagy feltételezhető, a betegnek orvosi tanácsot kell kérnie, és abba kell hagynia a gyógyszer szedését. Túlzott gyógyszerfogyasztással összefüggő fejfájás diagnózisát kell feltételezni olyan betegek esetében, akiknél gyakori vagy mindennapos fejfájás jelentkezik annak ellenére (vagy amiatt), hogy rendszeresen használnak fejfájás elleni gyógyszereket.</w:t>
      </w:r>
    </w:p>
    <w:p w14:paraId="079FFBED" w14:textId="77777777" w:rsidR="00C06357" w:rsidRDefault="00C06357" w:rsidP="003B5854">
      <w:pPr>
        <w:tabs>
          <w:tab w:val="left" w:pos="567"/>
        </w:tabs>
        <w:rPr>
          <w:color w:val="auto"/>
          <w:sz w:val="22"/>
          <w:szCs w:val="22"/>
        </w:rPr>
      </w:pPr>
    </w:p>
    <w:p w14:paraId="1F907077" w14:textId="77777777" w:rsidR="007E4F1A" w:rsidRPr="00BA7BA5" w:rsidRDefault="007E4F1A" w:rsidP="007E4F1A">
      <w:pPr>
        <w:keepNext/>
        <w:ind w:right="-17"/>
        <w:rPr>
          <w:i/>
          <w:sz w:val="22"/>
          <w:szCs w:val="22"/>
        </w:rPr>
      </w:pPr>
      <w:r w:rsidRPr="00C626BB">
        <w:rPr>
          <w:i/>
          <w:sz w:val="22"/>
          <w:szCs w:val="22"/>
        </w:rPr>
        <w:t>Latex gumi allergia</w:t>
      </w:r>
    </w:p>
    <w:p w14:paraId="03375602" w14:textId="77777777" w:rsidR="007E4F1A" w:rsidRDefault="007E4F1A" w:rsidP="007E4F1A">
      <w:pPr>
        <w:keepNext/>
        <w:ind w:right="-17"/>
        <w:rPr>
          <w:sz w:val="22"/>
          <w:szCs w:val="22"/>
        </w:rPr>
      </w:pPr>
      <w:r w:rsidRPr="00C626BB">
        <w:rPr>
          <w:sz w:val="22"/>
          <w:szCs w:val="22"/>
        </w:rPr>
        <w:t>Az el</w:t>
      </w:r>
      <w:r>
        <w:rPr>
          <w:sz w:val="22"/>
          <w:szCs w:val="22"/>
        </w:rPr>
        <w:t>ő</w:t>
      </w:r>
      <w:r w:rsidRPr="00C626BB">
        <w:rPr>
          <w:sz w:val="22"/>
          <w:szCs w:val="22"/>
        </w:rPr>
        <w:t>retöltött fecskend</w:t>
      </w:r>
      <w:r>
        <w:rPr>
          <w:sz w:val="22"/>
          <w:szCs w:val="22"/>
        </w:rPr>
        <w:t>ő</w:t>
      </w:r>
      <w:r w:rsidRPr="00C626BB">
        <w:rPr>
          <w:sz w:val="22"/>
          <w:szCs w:val="22"/>
        </w:rPr>
        <w:t xml:space="preserve"> t</w:t>
      </w:r>
      <w:r>
        <w:rPr>
          <w:sz w:val="22"/>
          <w:szCs w:val="22"/>
        </w:rPr>
        <w:t>ű</w:t>
      </w:r>
      <w:r w:rsidRPr="00C626BB">
        <w:rPr>
          <w:sz w:val="22"/>
          <w:szCs w:val="22"/>
        </w:rPr>
        <w:t>véd</w:t>
      </w:r>
      <w:r>
        <w:rPr>
          <w:sz w:val="22"/>
          <w:szCs w:val="22"/>
        </w:rPr>
        <w:t>ő</w:t>
      </w:r>
      <w:r w:rsidRPr="00C626BB">
        <w:rPr>
          <w:sz w:val="22"/>
          <w:szCs w:val="22"/>
        </w:rPr>
        <w:t xml:space="preserve"> kupakja természetes szárított latex gumi</w:t>
      </w:r>
      <w:r>
        <w:rPr>
          <w:sz w:val="22"/>
          <w:szCs w:val="22"/>
        </w:rPr>
        <w:t>t tartalmazhat</w:t>
      </w:r>
      <w:r w:rsidRPr="00C626BB">
        <w:rPr>
          <w:sz w:val="22"/>
          <w:szCs w:val="22"/>
        </w:rPr>
        <w:t xml:space="preserve">, amely </w:t>
      </w:r>
      <w:r>
        <w:rPr>
          <w:sz w:val="22"/>
          <w:szCs w:val="22"/>
        </w:rPr>
        <w:t>latexra</w:t>
      </w:r>
      <w:r w:rsidRPr="00C626BB">
        <w:rPr>
          <w:sz w:val="22"/>
          <w:szCs w:val="22"/>
        </w:rPr>
        <w:t xml:space="preserve"> érzékeny</w:t>
      </w:r>
      <w:r>
        <w:rPr>
          <w:sz w:val="22"/>
          <w:szCs w:val="22"/>
        </w:rPr>
        <w:t xml:space="preserve"> személy</w:t>
      </w:r>
      <w:r w:rsidRPr="00C626BB">
        <w:rPr>
          <w:sz w:val="22"/>
          <w:szCs w:val="22"/>
        </w:rPr>
        <w:t>eknél allergiás reakciót okozhat.</w:t>
      </w:r>
    </w:p>
    <w:p w14:paraId="7CEB36DB" w14:textId="77777777" w:rsidR="00DF71BE" w:rsidRDefault="00DF71BE" w:rsidP="007E4F1A">
      <w:pPr>
        <w:keepNext/>
        <w:ind w:right="-17"/>
        <w:rPr>
          <w:sz w:val="22"/>
          <w:szCs w:val="22"/>
        </w:rPr>
      </w:pPr>
    </w:p>
    <w:p w14:paraId="66A46F3D" w14:textId="77777777" w:rsidR="00DF71BE" w:rsidRPr="00600C85" w:rsidRDefault="00DF71BE" w:rsidP="007E4F1A">
      <w:pPr>
        <w:keepNext/>
        <w:ind w:right="-17"/>
        <w:rPr>
          <w:i/>
          <w:iCs/>
          <w:sz w:val="22"/>
          <w:szCs w:val="22"/>
        </w:rPr>
      </w:pPr>
      <w:r w:rsidRPr="00600C85">
        <w:rPr>
          <w:i/>
          <w:iCs/>
          <w:sz w:val="22"/>
          <w:szCs w:val="22"/>
        </w:rPr>
        <w:t>Nátrium tartalom</w:t>
      </w:r>
    </w:p>
    <w:p w14:paraId="4D4C557F" w14:textId="77777777" w:rsidR="00DF71BE" w:rsidRPr="00C626BB" w:rsidRDefault="00DF71BE" w:rsidP="007E4F1A">
      <w:pPr>
        <w:keepNext/>
        <w:ind w:right="-17"/>
        <w:rPr>
          <w:sz w:val="22"/>
          <w:szCs w:val="22"/>
        </w:rPr>
      </w:pPr>
      <w:r>
        <w:rPr>
          <w:sz w:val="22"/>
          <w:szCs w:val="22"/>
        </w:rPr>
        <w:t>A készítmény kevesebb mint 1 mmol (23 mg) nátriumot tartalmaz</w:t>
      </w:r>
      <w:r w:rsidR="00AC4E4D">
        <w:rPr>
          <w:sz w:val="22"/>
          <w:szCs w:val="22"/>
        </w:rPr>
        <w:t xml:space="preserve"> adagonként,</w:t>
      </w:r>
      <w:r>
        <w:rPr>
          <w:sz w:val="22"/>
          <w:szCs w:val="22"/>
        </w:rPr>
        <w:t xml:space="preserve"> azaz gyakorlatilag „nátriummentes”. </w:t>
      </w:r>
    </w:p>
    <w:p w14:paraId="0478B6EB" w14:textId="77777777" w:rsidR="003B3980" w:rsidRPr="007A0379" w:rsidRDefault="003B3980" w:rsidP="003B3980">
      <w:pPr>
        <w:pStyle w:val="WW-BodyText2"/>
        <w:tabs>
          <w:tab w:val="left" w:pos="567"/>
        </w:tabs>
        <w:rPr>
          <w:color w:val="auto"/>
          <w:sz w:val="22"/>
          <w:szCs w:val="22"/>
          <w:u w:val="single"/>
        </w:rPr>
      </w:pPr>
    </w:p>
    <w:p w14:paraId="260DF751" w14:textId="77777777" w:rsidR="00FE2213" w:rsidRPr="007A0379" w:rsidRDefault="00FE2213" w:rsidP="009F06F4">
      <w:pPr>
        <w:keepNext/>
        <w:numPr>
          <w:ilvl w:val="1"/>
          <w:numId w:val="1"/>
        </w:numPr>
        <w:tabs>
          <w:tab w:val="left" w:pos="567"/>
        </w:tabs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Gyógyszerkölcsönhatások és egyéb interakciók</w:t>
      </w:r>
    </w:p>
    <w:p w14:paraId="00D59CC5" w14:textId="77777777" w:rsidR="00FE2213" w:rsidRPr="007A0379" w:rsidRDefault="00FE2213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1DEBE9D7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Nem igazoltak kölcsönhatást propranolollal, flunarizinnel, pizotifennel vagy alkohollal.</w:t>
      </w:r>
    </w:p>
    <w:p w14:paraId="7E76A064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27F40604" w14:textId="77777777" w:rsidR="00CB7810" w:rsidRPr="00CB7810" w:rsidRDefault="00CB7810" w:rsidP="00CB7810">
      <w:pPr>
        <w:tabs>
          <w:tab w:val="left" w:pos="567"/>
        </w:tabs>
        <w:rPr>
          <w:color w:val="auto"/>
          <w:sz w:val="22"/>
          <w:szCs w:val="22"/>
        </w:rPr>
      </w:pPr>
      <w:r w:rsidRPr="00CB7810">
        <w:rPr>
          <w:color w:val="auto"/>
          <w:sz w:val="22"/>
          <w:szCs w:val="22"/>
        </w:rPr>
        <w:lastRenderedPageBreak/>
        <w:t xml:space="preserve">Korlátozott </w:t>
      </w:r>
      <w:r w:rsidR="00711BED">
        <w:rPr>
          <w:color w:val="auto"/>
          <w:sz w:val="22"/>
          <w:szCs w:val="22"/>
        </w:rPr>
        <w:t xml:space="preserve">mennyiségű </w:t>
      </w:r>
      <w:r w:rsidRPr="00CB7810">
        <w:rPr>
          <w:color w:val="auto"/>
          <w:sz w:val="22"/>
          <w:szCs w:val="22"/>
        </w:rPr>
        <w:t>adat áll rendelkezésre ergotamin vagy egyéb triptán/5HT</w:t>
      </w:r>
      <w:r w:rsidRPr="00480E6E">
        <w:rPr>
          <w:color w:val="auto"/>
          <w:sz w:val="22"/>
          <w:szCs w:val="22"/>
          <w:vertAlign w:val="subscript"/>
        </w:rPr>
        <w:t>1</w:t>
      </w:r>
      <w:r w:rsidRPr="00CB7810">
        <w:rPr>
          <w:color w:val="auto"/>
          <w:sz w:val="22"/>
          <w:szCs w:val="22"/>
        </w:rPr>
        <w:t xml:space="preserve"> receptor agonistát tartalmazó készítményekkel való gyógyszerkölcsönhatásról. Elméletileg a koszorúerek </w:t>
      </w:r>
      <w:r w:rsidR="00785EE8" w:rsidRPr="00CB7810">
        <w:rPr>
          <w:color w:val="auto"/>
          <w:sz w:val="22"/>
          <w:szCs w:val="22"/>
        </w:rPr>
        <w:t>va</w:t>
      </w:r>
      <w:r w:rsidR="00785EE8">
        <w:rPr>
          <w:color w:val="auto"/>
          <w:sz w:val="22"/>
          <w:szCs w:val="22"/>
        </w:rPr>
        <w:t>s</w:t>
      </w:r>
      <w:r w:rsidR="00785EE8" w:rsidRPr="00CB7810">
        <w:rPr>
          <w:color w:val="auto"/>
          <w:sz w:val="22"/>
          <w:szCs w:val="22"/>
        </w:rPr>
        <w:t>ospa</w:t>
      </w:r>
      <w:r w:rsidR="00785EE8">
        <w:rPr>
          <w:color w:val="auto"/>
          <w:sz w:val="22"/>
          <w:szCs w:val="22"/>
        </w:rPr>
        <w:t>s</w:t>
      </w:r>
      <w:r w:rsidR="00785EE8" w:rsidRPr="00CB7810">
        <w:rPr>
          <w:color w:val="auto"/>
          <w:sz w:val="22"/>
          <w:szCs w:val="22"/>
        </w:rPr>
        <w:t>musának</w:t>
      </w:r>
      <w:r w:rsidRPr="00CB7810">
        <w:rPr>
          <w:color w:val="auto"/>
          <w:sz w:val="22"/>
          <w:szCs w:val="22"/>
        </w:rPr>
        <w:t xml:space="preserve"> fokozott lehet a kockázata, ezért az egyidejű alkalmazás ellenjavallt (lásd 4.3</w:t>
      </w:r>
      <w:r w:rsidR="0091066E">
        <w:rPr>
          <w:color w:val="auto"/>
          <w:sz w:val="22"/>
          <w:szCs w:val="22"/>
        </w:rPr>
        <w:t> </w:t>
      </w:r>
      <w:r w:rsidRPr="00CB7810">
        <w:rPr>
          <w:color w:val="auto"/>
          <w:sz w:val="22"/>
          <w:szCs w:val="22"/>
        </w:rPr>
        <w:t>pont).</w:t>
      </w:r>
    </w:p>
    <w:p w14:paraId="5797960D" w14:textId="77777777" w:rsidR="00CB7810" w:rsidRPr="00CB7810" w:rsidRDefault="00CB7810" w:rsidP="00CB7810">
      <w:pPr>
        <w:tabs>
          <w:tab w:val="left" w:pos="567"/>
        </w:tabs>
        <w:rPr>
          <w:color w:val="auto"/>
          <w:sz w:val="22"/>
          <w:szCs w:val="22"/>
        </w:rPr>
      </w:pPr>
    </w:p>
    <w:p w14:paraId="6D645F50" w14:textId="77777777" w:rsidR="00CB7810" w:rsidRPr="00CB7810" w:rsidRDefault="00CB7810" w:rsidP="00CB7810">
      <w:pPr>
        <w:tabs>
          <w:tab w:val="left" w:pos="567"/>
        </w:tabs>
        <w:rPr>
          <w:color w:val="auto"/>
          <w:sz w:val="22"/>
          <w:szCs w:val="22"/>
        </w:rPr>
      </w:pPr>
      <w:r w:rsidRPr="00CB7810">
        <w:rPr>
          <w:color w:val="auto"/>
          <w:sz w:val="22"/>
          <w:szCs w:val="22"/>
        </w:rPr>
        <w:t>A szumatriptán és ergotamintartalmú vagy egyéb triptán/5HT</w:t>
      </w:r>
      <w:r w:rsidRPr="00480E6E">
        <w:rPr>
          <w:color w:val="auto"/>
          <w:sz w:val="22"/>
          <w:szCs w:val="22"/>
          <w:vertAlign w:val="subscript"/>
        </w:rPr>
        <w:t>1</w:t>
      </w:r>
      <w:r w:rsidRPr="00CB7810">
        <w:rPr>
          <w:color w:val="auto"/>
          <w:sz w:val="22"/>
          <w:szCs w:val="22"/>
        </w:rPr>
        <w:t xml:space="preserve"> receptor agonistát tartalmazó készítmények alkalmazása után kivárandó időtartam nem ismert. Ez az időtartam az alkalmazott készítmény adagjától és típusától is függ. A hatások együttesen felerősödhetnek. </w:t>
      </w:r>
      <w:r w:rsidR="0094678B" w:rsidRPr="00EB6DE5">
        <w:rPr>
          <w:color w:val="auto"/>
          <w:sz w:val="22"/>
          <w:szCs w:val="22"/>
        </w:rPr>
        <w:t>Ergotamin</w:t>
      </w:r>
      <w:r w:rsidR="0094678B">
        <w:rPr>
          <w:color w:val="auto"/>
          <w:sz w:val="22"/>
          <w:szCs w:val="22"/>
        </w:rPr>
        <w:t>t,</w:t>
      </w:r>
      <w:r w:rsidR="0094678B" w:rsidRPr="00EB6DE5">
        <w:rPr>
          <w:color w:val="auto"/>
          <w:sz w:val="22"/>
          <w:szCs w:val="22"/>
        </w:rPr>
        <w:t xml:space="preserve"> </w:t>
      </w:r>
      <w:r w:rsidR="0094678B">
        <w:rPr>
          <w:color w:val="auto"/>
          <w:sz w:val="22"/>
          <w:szCs w:val="22"/>
        </w:rPr>
        <w:t>vagy más, triptán/5HT</w:t>
      </w:r>
      <w:r w:rsidR="0094678B" w:rsidRPr="00480E6E">
        <w:rPr>
          <w:color w:val="auto"/>
          <w:sz w:val="22"/>
          <w:szCs w:val="22"/>
          <w:vertAlign w:val="subscript"/>
        </w:rPr>
        <w:t>1</w:t>
      </w:r>
      <w:r w:rsidR="0094678B">
        <w:rPr>
          <w:color w:val="auto"/>
          <w:sz w:val="22"/>
          <w:szCs w:val="22"/>
          <w:vertAlign w:val="subscript"/>
        </w:rPr>
        <w:t xml:space="preserve"> </w:t>
      </w:r>
      <w:r w:rsidR="0094678B">
        <w:rPr>
          <w:color w:val="auto"/>
          <w:sz w:val="22"/>
          <w:szCs w:val="22"/>
        </w:rPr>
        <w:t xml:space="preserve">receptor agonistát </w:t>
      </w:r>
      <w:r w:rsidR="0094678B" w:rsidRPr="00EB6DE5">
        <w:rPr>
          <w:color w:val="auto"/>
          <w:sz w:val="22"/>
          <w:szCs w:val="22"/>
        </w:rPr>
        <w:t>tartalm</w:t>
      </w:r>
      <w:r w:rsidR="0094678B">
        <w:rPr>
          <w:color w:val="auto"/>
          <w:sz w:val="22"/>
          <w:szCs w:val="22"/>
        </w:rPr>
        <w:t>azó</w:t>
      </w:r>
      <w:r w:rsidR="0094678B" w:rsidRPr="00EB6DE5">
        <w:rPr>
          <w:color w:val="auto"/>
          <w:sz w:val="22"/>
          <w:szCs w:val="22"/>
        </w:rPr>
        <w:t xml:space="preserve"> készí</w:t>
      </w:r>
      <w:r w:rsidR="0094678B">
        <w:rPr>
          <w:color w:val="auto"/>
          <w:sz w:val="22"/>
          <w:szCs w:val="22"/>
        </w:rPr>
        <w:t xml:space="preserve">tmények alkalmazását követően a szumatriptán injekció alkalmazása előtt javasolt legalább </w:t>
      </w:r>
      <w:r w:rsidR="0094678B" w:rsidRPr="0091066E">
        <w:rPr>
          <w:sz w:val="22"/>
          <w:szCs w:val="22"/>
        </w:rPr>
        <w:t>24</w:t>
      </w:r>
      <w:r w:rsidR="0091066E" w:rsidRPr="0091066E">
        <w:rPr>
          <w:sz w:val="22"/>
          <w:szCs w:val="22"/>
        </w:rPr>
        <w:t> </w:t>
      </w:r>
      <w:r w:rsidR="0094678B" w:rsidRPr="0091066E">
        <w:rPr>
          <w:sz w:val="22"/>
          <w:szCs w:val="22"/>
        </w:rPr>
        <w:t>órát</w:t>
      </w:r>
      <w:r w:rsidR="0094678B" w:rsidRPr="00EB6DE5">
        <w:rPr>
          <w:color w:val="auto"/>
          <w:sz w:val="22"/>
          <w:szCs w:val="22"/>
        </w:rPr>
        <w:t xml:space="preserve"> várni.</w:t>
      </w:r>
      <w:r w:rsidR="007E4F1A">
        <w:rPr>
          <w:color w:val="auto"/>
          <w:sz w:val="22"/>
          <w:szCs w:val="22"/>
        </w:rPr>
        <w:t xml:space="preserve"> </w:t>
      </w:r>
      <w:r w:rsidRPr="00CB7810">
        <w:rPr>
          <w:color w:val="auto"/>
          <w:sz w:val="22"/>
          <w:szCs w:val="22"/>
        </w:rPr>
        <w:t>Ugyanígy fordítva, a szumatriptán alkalmazása után is javasolt legalább 6</w:t>
      </w:r>
      <w:r w:rsidR="0091066E">
        <w:rPr>
          <w:color w:val="auto"/>
          <w:sz w:val="22"/>
          <w:szCs w:val="22"/>
        </w:rPr>
        <w:t> </w:t>
      </w:r>
      <w:r w:rsidRPr="00CB7810">
        <w:rPr>
          <w:color w:val="auto"/>
          <w:sz w:val="22"/>
          <w:szCs w:val="22"/>
        </w:rPr>
        <w:t>órát várni az ergotamintartalmú termék bevétele, és legalább 24</w:t>
      </w:r>
      <w:r w:rsidR="0091066E">
        <w:rPr>
          <w:color w:val="auto"/>
          <w:sz w:val="22"/>
          <w:szCs w:val="22"/>
        </w:rPr>
        <w:t> </w:t>
      </w:r>
      <w:r w:rsidRPr="00CB7810">
        <w:rPr>
          <w:color w:val="auto"/>
          <w:sz w:val="22"/>
          <w:szCs w:val="22"/>
        </w:rPr>
        <w:t>órát várni egy másik triptán/5HT</w:t>
      </w:r>
      <w:r w:rsidRPr="00480E6E">
        <w:rPr>
          <w:color w:val="auto"/>
          <w:sz w:val="22"/>
          <w:szCs w:val="22"/>
          <w:vertAlign w:val="subscript"/>
        </w:rPr>
        <w:t>1</w:t>
      </w:r>
      <w:r w:rsidRPr="00CB7810">
        <w:rPr>
          <w:color w:val="auto"/>
          <w:sz w:val="22"/>
          <w:szCs w:val="22"/>
        </w:rPr>
        <w:t xml:space="preserve"> receptor agonista alkalmazása előtt.</w:t>
      </w:r>
    </w:p>
    <w:p w14:paraId="3EA98429" w14:textId="77777777" w:rsidR="00CB7810" w:rsidRPr="00CB7810" w:rsidRDefault="00CB7810" w:rsidP="00CB7810">
      <w:pPr>
        <w:tabs>
          <w:tab w:val="left" w:pos="567"/>
        </w:tabs>
        <w:rPr>
          <w:color w:val="auto"/>
          <w:sz w:val="22"/>
          <w:szCs w:val="22"/>
        </w:rPr>
      </w:pPr>
    </w:p>
    <w:p w14:paraId="083FFBBB" w14:textId="77777777" w:rsidR="00FE2213" w:rsidRPr="007A0379" w:rsidRDefault="00CB7810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CB7810">
        <w:rPr>
          <w:color w:val="auto"/>
          <w:sz w:val="22"/>
          <w:szCs w:val="22"/>
        </w:rPr>
        <w:t>Gyógyszerkölcsönhatás léphet fel a szumatriptán és a MAO-gátlók között, ezért egyidejű alkalmazásuk ellenjavallt (lásd a 4.3.</w:t>
      </w:r>
      <w:r w:rsidR="0091066E">
        <w:rPr>
          <w:color w:val="auto"/>
          <w:sz w:val="22"/>
          <w:szCs w:val="22"/>
        </w:rPr>
        <w:t> </w:t>
      </w:r>
      <w:r w:rsidRPr="00CB7810">
        <w:rPr>
          <w:color w:val="auto"/>
          <w:sz w:val="22"/>
          <w:szCs w:val="22"/>
        </w:rPr>
        <w:t>pont).</w:t>
      </w:r>
    </w:p>
    <w:p w14:paraId="19A8D874" w14:textId="77777777" w:rsidR="0079474C" w:rsidRPr="007A0379" w:rsidRDefault="0079474C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7D84915C" w14:textId="77777777" w:rsidR="0079474C" w:rsidRPr="007A0379" w:rsidRDefault="0079474C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forgalomba hozatal után ritkán jelentettek szerotonin</w:t>
      </w:r>
      <w:r w:rsidR="009C696F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>szindrómát (</w:t>
      </w:r>
      <w:r w:rsidR="00CB7810">
        <w:rPr>
          <w:color w:val="auto"/>
          <w:sz w:val="22"/>
          <w:szCs w:val="22"/>
        </w:rPr>
        <w:t xml:space="preserve">köztük </w:t>
      </w:r>
      <w:r w:rsidRPr="007A0379">
        <w:rPr>
          <w:color w:val="auto"/>
          <w:sz w:val="22"/>
          <w:szCs w:val="22"/>
        </w:rPr>
        <w:t xml:space="preserve">a mentális állapot megváltozását, </w:t>
      </w:r>
      <w:r w:rsidR="007A0379" w:rsidRPr="007A0379">
        <w:rPr>
          <w:color w:val="auto"/>
          <w:sz w:val="22"/>
          <w:szCs w:val="22"/>
        </w:rPr>
        <w:t>vegetatív</w:t>
      </w:r>
      <w:r w:rsidRPr="007A0379">
        <w:rPr>
          <w:color w:val="auto"/>
          <w:sz w:val="22"/>
          <w:szCs w:val="22"/>
        </w:rPr>
        <w:t xml:space="preserve"> instabilitást és neuromuscularis rendellenességeket) olyan betegeknél, akik SSRI-t és szumatriptánt kaptak. Szerotonin</w:t>
      </w:r>
      <w:r w:rsidR="009C696F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>szindrómát a triptánok és SNRI-k egyidejű alkalmazása során is tapasztaltak (lásd 4.4</w:t>
      </w:r>
      <w:r w:rsidR="00631DC6">
        <w:rPr>
          <w:color w:val="auto"/>
          <w:sz w:val="22"/>
          <w:szCs w:val="22"/>
        </w:rPr>
        <w:t> </w:t>
      </w:r>
      <w:r w:rsidR="00CB7810">
        <w:rPr>
          <w:color w:val="auto"/>
          <w:sz w:val="22"/>
          <w:szCs w:val="22"/>
        </w:rPr>
        <w:t>pont</w:t>
      </w:r>
      <w:r w:rsidRPr="007A0379">
        <w:rPr>
          <w:color w:val="auto"/>
          <w:sz w:val="22"/>
          <w:szCs w:val="22"/>
        </w:rPr>
        <w:t>).</w:t>
      </w:r>
    </w:p>
    <w:p w14:paraId="61C9719A" w14:textId="77777777" w:rsidR="00FE2213" w:rsidRPr="007A0379" w:rsidRDefault="00FE2213" w:rsidP="00771073">
      <w:pPr>
        <w:tabs>
          <w:tab w:val="left" w:pos="567"/>
        </w:tabs>
        <w:rPr>
          <w:b/>
          <w:color w:val="auto"/>
          <w:sz w:val="22"/>
          <w:szCs w:val="22"/>
        </w:rPr>
      </w:pPr>
    </w:p>
    <w:p w14:paraId="08181277" w14:textId="77777777" w:rsidR="00FE2213" w:rsidRPr="007A0379" w:rsidRDefault="0094678B" w:rsidP="009F06F4">
      <w:pPr>
        <w:keepNext/>
        <w:numPr>
          <w:ilvl w:val="1"/>
          <w:numId w:val="1"/>
        </w:numPr>
        <w:tabs>
          <w:tab w:val="left" w:pos="567"/>
        </w:tabs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Termékenység, t</w:t>
      </w:r>
      <w:r w:rsidR="00FE2213" w:rsidRPr="007A0379">
        <w:rPr>
          <w:b/>
          <w:color w:val="auto"/>
          <w:sz w:val="22"/>
          <w:szCs w:val="22"/>
        </w:rPr>
        <w:t>erhesség és szoptatás</w:t>
      </w:r>
    </w:p>
    <w:p w14:paraId="1E8919D4" w14:textId="77777777" w:rsidR="00FE2213" w:rsidRPr="007A0379" w:rsidRDefault="00FE2213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0CB08F25" w14:textId="77777777" w:rsidR="00CB7810" w:rsidRPr="00CB7810" w:rsidRDefault="00CB7810" w:rsidP="00CB7810">
      <w:pPr>
        <w:tabs>
          <w:tab w:val="left" w:pos="567"/>
        </w:tabs>
        <w:rPr>
          <w:color w:val="auto"/>
          <w:sz w:val="22"/>
          <w:szCs w:val="22"/>
        </w:rPr>
      </w:pPr>
      <w:r w:rsidRPr="00CB7810">
        <w:rPr>
          <w:i/>
          <w:color w:val="auto"/>
          <w:sz w:val="22"/>
          <w:szCs w:val="22"/>
        </w:rPr>
        <w:t>Terhesség</w:t>
      </w:r>
    </w:p>
    <w:p w14:paraId="6C702999" w14:textId="77777777" w:rsidR="00CB7810" w:rsidRPr="00CB7810" w:rsidRDefault="00CB7810" w:rsidP="00CB7810">
      <w:pPr>
        <w:tabs>
          <w:tab w:val="left" w:pos="567"/>
        </w:tabs>
        <w:rPr>
          <w:color w:val="auto"/>
          <w:sz w:val="22"/>
          <w:szCs w:val="22"/>
        </w:rPr>
      </w:pPr>
      <w:r w:rsidRPr="00CB7810">
        <w:rPr>
          <w:color w:val="auto"/>
          <w:sz w:val="22"/>
          <w:szCs w:val="22"/>
        </w:rPr>
        <w:t>A forgalomba hozatalt követően több mint 1000</w:t>
      </w:r>
      <w:r w:rsidR="00631DC6">
        <w:rPr>
          <w:color w:val="auto"/>
          <w:sz w:val="22"/>
          <w:szCs w:val="22"/>
        </w:rPr>
        <w:t> </w:t>
      </w:r>
      <w:r w:rsidRPr="00CB7810">
        <w:rPr>
          <w:color w:val="auto"/>
          <w:sz w:val="22"/>
          <w:szCs w:val="22"/>
        </w:rPr>
        <w:t>nőbetegről gyűjtött adat áll rendelkezésre a szumatriptán első trimeszterben történő alkalmazásáról. Bár ezek az adatok nem hordoznak elegendő információt ahhoz, hogy végleges következtetéseket lehetne belőlük levonni, azt mutatják, hogy nincs nagyobb kockázata a veleszületett rendellenességeknek. A szumatriptán második és harmadik trimeszterben történő alkalmazásáról korlátozott tapasztalatok állnak rendelkezésre.</w:t>
      </w:r>
    </w:p>
    <w:p w14:paraId="25F8C466" w14:textId="77777777" w:rsidR="00CB7810" w:rsidRPr="00CB7810" w:rsidRDefault="00CB7810" w:rsidP="00CB7810">
      <w:pPr>
        <w:tabs>
          <w:tab w:val="left" w:pos="567"/>
        </w:tabs>
        <w:rPr>
          <w:color w:val="auto"/>
          <w:sz w:val="22"/>
          <w:szCs w:val="22"/>
        </w:rPr>
      </w:pPr>
    </w:p>
    <w:p w14:paraId="53935399" w14:textId="77777777" w:rsidR="00CB7810" w:rsidRPr="00CB7810" w:rsidRDefault="00CB7810" w:rsidP="00CB7810">
      <w:pPr>
        <w:tabs>
          <w:tab w:val="left" w:pos="567"/>
        </w:tabs>
        <w:rPr>
          <w:color w:val="auto"/>
          <w:sz w:val="22"/>
          <w:szCs w:val="22"/>
        </w:rPr>
      </w:pPr>
      <w:r w:rsidRPr="00CB7810">
        <w:rPr>
          <w:color w:val="auto"/>
          <w:sz w:val="22"/>
          <w:szCs w:val="22"/>
        </w:rPr>
        <w:t>Az állatkísérletes vizsgálatok értékelése azt mutatja, hogy nincs közvetlen teratogén vagy káros hatása a peri- és postnatalis fejlődésre. Az embryofoetalis életképességet azonban befolyásolhatja nyulakban (lásd az 5.3.</w:t>
      </w:r>
      <w:r w:rsidR="0091066E">
        <w:rPr>
          <w:color w:val="auto"/>
          <w:sz w:val="22"/>
          <w:szCs w:val="22"/>
        </w:rPr>
        <w:t> </w:t>
      </w:r>
      <w:r w:rsidRPr="00CB7810">
        <w:rPr>
          <w:color w:val="auto"/>
          <w:sz w:val="22"/>
          <w:szCs w:val="22"/>
        </w:rPr>
        <w:t xml:space="preserve">pont). A szumatriptánt kizárólag abban az esetben szabad alkalmazni, ha az anya szempontjából várható előny nagyobb, mint a magzatot fenyegető kockázat. </w:t>
      </w:r>
    </w:p>
    <w:p w14:paraId="55FAE68D" w14:textId="77777777" w:rsidR="00CB7810" w:rsidRPr="00CB7810" w:rsidRDefault="00CB7810" w:rsidP="00CB7810">
      <w:pPr>
        <w:tabs>
          <w:tab w:val="left" w:pos="567"/>
        </w:tabs>
        <w:rPr>
          <w:color w:val="auto"/>
          <w:sz w:val="22"/>
          <w:szCs w:val="22"/>
        </w:rPr>
      </w:pPr>
    </w:p>
    <w:p w14:paraId="156BA47D" w14:textId="77777777" w:rsidR="00CB7810" w:rsidRPr="00CB7810" w:rsidRDefault="00CB7810" w:rsidP="00CB7810">
      <w:pPr>
        <w:tabs>
          <w:tab w:val="left" w:pos="567"/>
        </w:tabs>
        <w:rPr>
          <w:color w:val="auto"/>
          <w:sz w:val="22"/>
          <w:szCs w:val="22"/>
        </w:rPr>
      </w:pPr>
      <w:r w:rsidRPr="00CB7810">
        <w:rPr>
          <w:i/>
          <w:color w:val="auto"/>
          <w:sz w:val="22"/>
          <w:szCs w:val="22"/>
        </w:rPr>
        <w:t>Szoptatás</w:t>
      </w:r>
    </w:p>
    <w:p w14:paraId="5D920D26" w14:textId="77777777" w:rsidR="00FE2213" w:rsidRPr="00CB7810" w:rsidRDefault="00CB7810" w:rsidP="00771073">
      <w:pPr>
        <w:pStyle w:val="Szvegtrzs"/>
        <w:tabs>
          <w:tab w:val="left" w:pos="567"/>
        </w:tabs>
        <w:spacing w:after="0"/>
        <w:rPr>
          <w:color w:val="auto"/>
          <w:sz w:val="22"/>
          <w:szCs w:val="22"/>
        </w:rPr>
      </w:pPr>
      <w:r w:rsidRPr="00CB7810">
        <w:rPr>
          <w:color w:val="auto"/>
          <w:sz w:val="22"/>
          <w:szCs w:val="22"/>
        </w:rPr>
        <w:t xml:space="preserve">Kimutatták, hogy </w:t>
      </w:r>
      <w:r w:rsidR="00A95CC6">
        <w:rPr>
          <w:color w:val="auto"/>
          <w:sz w:val="22"/>
          <w:szCs w:val="22"/>
        </w:rPr>
        <w:t>subcutan</w:t>
      </w:r>
      <w:r w:rsidR="00A95CC6" w:rsidRPr="00CB7810">
        <w:rPr>
          <w:color w:val="auto"/>
          <w:sz w:val="22"/>
          <w:szCs w:val="22"/>
        </w:rPr>
        <w:t xml:space="preserve"> </w:t>
      </w:r>
      <w:r w:rsidRPr="00CB7810">
        <w:rPr>
          <w:color w:val="auto"/>
          <w:sz w:val="22"/>
          <w:szCs w:val="22"/>
        </w:rPr>
        <w:t>beadását követően a szumatriptán kiválasztódik az anyatejbe. A csecsemőt érő gyógyszerhatás minimálisra csökkenthető a szoptatás mellőzésével a kezelést követő 12</w:t>
      </w:r>
      <w:r w:rsidR="0091066E">
        <w:rPr>
          <w:color w:val="auto"/>
          <w:sz w:val="22"/>
          <w:szCs w:val="22"/>
        </w:rPr>
        <w:t> </w:t>
      </w:r>
      <w:r w:rsidRPr="00CB7810">
        <w:rPr>
          <w:color w:val="auto"/>
          <w:sz w:val="22"/>
          <w:szCs w:val="22"/>
        </w:rPr>
        <w:t xml:space="preserve">órában. Az ez idő alatt képződött anyatej nem </w:t>
      </w:r>
      <w:r w:rsidR="006666BB">
        <w:rPr>
          <w:color w:val="auto"/>
          <w:sz w:val="22"/>
          <w:szCs w:val="22"/>
        </w:rPr>
        <w:t>használható fel</w:t>
      </w:r>
      <w:r w:rsidRPr="00CB7810">
        <w:rPr>
          <w:color w:val="auto"/>
          <w:sz w:val="22"/>
          <w:szCs w:val="22"/>
        </w:rPr>
        <w:t>.</w:t>
      </w:r>
    </w:p>
    <w:p w14:paraId="470F5E6B" w14:textId="77777777" w:rsidR="00FE2213" w:rsidRPr="00DC083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33A61320" w14:textId="77777777" w:rsidR="00FE2213" w:rsidRPr="007A0379" w:rsidRDefault="00FE2213" w:rsidP="00711BED">
      <w:pPr>
        <w:pStyle w:val="Szvegtrzs"/>
        <w:keepNext/>
        <w:numPr>
          <w:ilvl w:val="1"/>
          <w:numId w:val="1"/>
        </w:numPr>
        <w:tabs>
          <w:tab w:val="left" w:pos="567"/>
          <w:tab w:val="left" w:pos="8647"/>
        </w:tabs>
        <w:spacing w:after="0"/>
        <w:rPr>
          <w:b/>
          <w:bCs/>
          <w:color w:val="auto"/>
          <w:sz w:val="22"/>
          <w:szCs w:val="22"/>
        </w:rPr>
      </w:pPr>
      <w:r w:rsidRPr="007A0379">
        <w:rPr>
          <w:b/>
          <w:bCs/>
          <w:color w:val="auto"/>
          <w:sz w:val="22"/>
          <w:szCs w:val="22"/>
        </w:rPr>
        <w:t xml:space="preserve">A készítmény hatásai a gépjárművezetéshez és </w:t>
      </w:r>
      <w:r w:rsidR="009F06F4">
        <w:rPr>
          <w:b/>
          <w:bCs/>
          <w:color w:val="auto"/>
          <w:sz w:val="22"/>
          <w:szCs w:val="22"/>
        </w:rPr>
        <w:t xml:space="preserve">a </w:t>
      </w:r>
      <w:r w:rsidRPr="007A0379">
        <w:rPr>
          <w:b/>
          <w:bCs/>
          <w:color w:val="auto"/>
          <w:sz w:val="22"/>
          <w:szCs w:val="22"/>
        </w:rPr>
        <w:t xml:space="preserve">gépek </w:t>
      </w:r>
      <w:r w:rsidR="00556DCB" w:rsidRPr="007A0379">
        <w:rPr>
          <w:b/>
          <w:bCs/>
          <w:color w:val="auto"/>
          <w:sz w:val="22"/>
          <w:szCs w:val="22"/>
        </w:rPr>
        <w:t xml:space="preserve">kezeléséhez </w:t>
      </w:r>
      <w:r w:rsidRPr="007A0379">
        <w:rPr>
          <w:b/>
          <w:bCs/>
          <w:color w:val="auto"/>
          <w:sz w:val="22"/>
          <w:szCs w:val="22"/>
        </w:rPr>
        <w:t>szükséges képességekre</w:t>
      </w:r>
    </w:p>
    <w:p w14:paraId="05388DD1" w14:textId="77777777" w:rsidR="007A0379" w:rsidRDefault="007A0379" w:rsidP="00711BED">
      <w:pPr>
        <w:keepNext/>
        <w:tabs>
          <w:tab w:val="left" w:pos="567"/>
          <w:tab w:val="left" w:pos="8647"/>
        </w:tabs>
        <w:rPr>
          <w:color w:val="auto"/>
          <w:sz w:val="22"/>
          <w:szCs w:val="22"/>
        </w:rPr>
      </w:pPr>
    </w:p>
    <w:p w14:paraId="65A54093" w14:textId="77777777" w:rsidR="00CB7810" w:rsidRPr="00CB7810" w:rsidRDefault="00CB7810" w:rsidP="00CB7810">
      <w:pPr>
        <w:tabs>
          <w:tab w:val="left" w:pos="567"/>
          <w:tab w:val="left" w:pos="8647"/>
        </w:tabs>
        <w:rPr>
          <w:color w:val="auto"/>
          <w:sz w:val="22"/>
          <w:szCs w:val="22"/>
        </w:rPr>
      </w:pPr>
      <w:r w:rsidRPr="00CB7810">
        <w:rPr>
          <w:color w:val="auto"/>
          <w:sz w:val="22"/>
          <w:szCs w:val="22"/>
        </w:rPr>
        <w:t xml:space="preserve">A készítménynek a gépjárművezetéshez és </w:t>
      </w:r>
      <w:r w:rsidR="009F06F4">
        <w:rPr>
          <w:color w:val="auto"/>
          <w:sz w:val="22"/>
          <w:szCs w:val="22"/>
        </w:rPr>
        <w:t xml:space="preserve">a </w:t>
      </w:r>
      <w:r w:rsidRPr="00CB7810">
        <w:rPr>
          <w:color w:val="auto"/>
          <w:sz w:val="22"/>
          <w:szCs w:val="22"/>
        </w:rPr>
        <w:t>gépek kezeléséhez szükséges képességekre gyakorolt hatásait nem vizsgálták.</w:t>
      </w:r>
    </w:p>
    <w:p w14:paraId="0FAB2358" w14:textId="77777777" w:rsidR="00FE2213" w:rsidRPr="007A0379" w:rsidRDefault="00CB7810" w:rsidP="00CB7810">
      <w:pPr>
        <w:tabs>
          <w:tab w:val="left" w:pos="567"/>
          <w:tab w:val="left" w:pos="8647"/>
        </w:tabs>
        <w:rPr>
          <w:color w:val="auto"/>
          <w:sz w:val="22"/>
          <w:szCs w:val="22"/>
        </w:rPr>
      </w:pPr>
      <w:r w:rsidRPr="00CB7810">
        <w:rPr>
          <w:color w:val="auto"/>
          <w:sz w:val="22"/>
          <w:szCs w:val="22"/>
        </w:rPr>
        <w:t xml:space="preserve">Álmosság jelentkezhet a migrén vagy annak szumatriptánnal történő kezelése következtében. Ez befolyásolhatja a gépjárművezetéshez és </w:t>
      </w:r>
      <w:r w:rsidR="003B5854">
        <w:rPr>
          <w:color w:val="auto"/>
          <w:sz w:val="22"/>
          <w:szCs w:val="22"/>
        </w:rPr>
        <w:t xml:space="preserve">a </w:t>
      </w:r>
      <w:r w:rsidRPr="00CB7810">
        <w:rPr>
          <w:color w:val="auto"/>
          <w:sz w:val="22"/>
          <w:szCs w:val="22"/>
        </w:rPr>
        <w:t xml:space="preserve">gépek </w:t>
      </w:r>
      <w:r w:rsidR="00711BED">
        <w:rPr>
          <w:color w:val="auto"/>
          <w:sz w:val="22"/>
          <w:szCs w:val="22"/>
        </w:rPr>
        <w:t>kezeléséhez</w:t>
      </w:r>
      <w:r w:rsidRPr="00CB7810">
        <w:rPr>
          <w:color w:val="auto"/>
          <w:sz w:val="22"/>
          <w:szCs w:val="22"/>
        </w:rPr>
        <w:t xml:space="preserve"> szükséges képességeket.</w:t>
      </w:r>
    </w:p>
    <w:p w14:paraId="33779593" w14:textId="77777777" w:rsidR="00FE2213" w:rsidRPr="007A0379" w:rsidRDefault="00FE2213" w:rsidP="00771073">
      <w:pPr>
        <w:tabs>
          <w:tab w:val="left" w:pos="567"/>
          <w:tab w:val="left" w:pos="8647"/>
        </w:tabs>
        <w:rPr>
          <w:b/>
          <w:color w:val="auto"/>
          <w:sz w:val="22"/>
          <w:szCs w:val="22"/>
        </w:rPr>
      </w:pPr>
    </w:p>
    <w:p w14:paraId="0DB2017F" w14:textId="77777777" w:rsidR="00FE2213" w:rsidRPr="007A0379" w:rsidRDefault="00FE2213" w:rsidP="009F06F4">
      <w:pPr>
        <w:keepNext/>
        <w:numPr>
          <w:ilvl w:val="1"/>
          <w:numId w:val="1"/>
        </w:numPr>
        <w:tabs>
          <w:tab w:val="left" w:pos="567"/>
          <w:tab w:val="left" w:pos="8647"/>
        </w:tabs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Nemkívánatos hatások, mellékhatások</w:t>
      </w:r>
    </w:p>
    <w:p w14:paraId="00F0177E" w14:textId="77777777" w:rsidR="00FE2213" w:rsidRPr="007A0379" w:rsidRDefault="00FE2213" w:rsidP="009F06F4">
      <w:pPr>
        <w:keepNext/>
        <w:tabs>
          <w:tab w:val="left" w:pos="567"/>
          <w:tab w:val="left" w:pos="8647"/>
        </w:tabs>
        <w:rPr>
          <w:b/>
          <w:color w:val="auto"/>
          <w:sz w:val="22"/>
          <w:szCs w:val="22"/>
        </w:rPr>
      </w:pPr>
    </w:p>
    <w:p w14:paraId="15C1F2A6" w14:textId="77777777" w:rsidR="008428C6" w:rsidRDefault="00A40D89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A </w:t>
      </w:r>
      <w:r w:rsidR="00556DCB" w:rsidRPr="007A0379">
        <w:rPr>
          <w:color w:val="auto"/>
          <w:sz w:val="22"/>
          <w:szCs w:val="22"/>
        </w:rPr>
        <w:t>mellék</w:t>
      </w:r>
      <w:r w:rsidRPr="007A0379">
        <w:rPr>
          <w:color w:val="auto"/>
          <w:sz w:val="22"/>
          <w:szCs w:val="22"/>
        </w:rPr>
        <w:t xml:space="preserve">hatások az alábbiakban </w:t>
      </w:r>
      <w:r w:rsidR="00556DCB" w:rsidRPr="007A0379">
        <w:rPr>
          <w:color w:val="auto"/>
          <w:sz w:val="22"/>
          <w:szCs w:val="22"/>
        </w:rPr>
        <w:t>szervrendszerenként és gyakoriság szerint vannak csoportosítva</w:t>
      </w:r>
      <w:r w:rsidRPr="007A0379">
        <w:rPr>
          <w:color w:val="auto"/>
          <w:sz w:val="22"/>
          <w:szCs w:val="22"/>
        </w:rPr>
        <w:t xml:space="preserve">. </w:t>
      </w:r>
    </w:p>
    <w:p w14:paraId="4C8694C9" w14:textId="77777777" w:rsidR="008428C6" w:rsidRDefault="00A40D89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gyakoriság osztályozása a következő: nagyon gyakori (≥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1/10), gyakori (≥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1/100</w:t>
      </w:r>
      <w:r w:rsidR="00510355" w:rsidRPr="007A0379">
        <w:rPr>
          <w:b/>
          <w:noProof/>
          <w:color w:val="auto"/>
          <w:sz w:val="22"/>
          <w:szCs w:val="22"/>
        </w:rPr>
        <w:t>–</w:t>
      </w:r>
      <w:r w:rsidRPr="007A0379">
        <w:rPr>
          <w:color w:val="auto"/>
          <w:sz w:val="22"/>
          <w:szCs w:val="22"/>
        </w:rPr>
        <w:t xml:space="preserve">&lt;1/10), </w:t>
      </w:r>
    </w:p>
    <w:p w14:paraId="6206B720" w14:textId="77777777" w:rsidR="008428C6" w:rsidRDefault="00A40D89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nem gyakori (≥1/1,000</w:t>
      </w:r>
      <w:r w:rsidR="00AD2F46">
        <w:rPr>
          <w:color w:val="auto"/>
          <w:sz w:val="22"/>
          <w:szCs w:val="22"/>
        </w:rPr>
        <w:t> </w:t>
      </w:r>
      <w:r w:rsidR="00510355" w:rsidRPr="007A0379">
        <w:rPr>
          <w:b/>
          <w:noProof/>
          <w:color w:val="auto"/>
          <w:sz w:val="22"/>
          <w:szCs w:val="22"/>
        </w:rPr>
        <w:t>–</w:t>
      </w:r>
      <w:r w:rsidRPr="007A0379">
        <w:rPr>
          <w:color w:val="auto"/>
          <w:sz w:val="22"/>
          <w:szCs w:val="22"/>
        </w:rPr>
        <w:t>&lt;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1/100), ritka (≥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1/10</w:t>
      </w:r>
      <w:r w:rsidR="00510355" w:rsidRPr="007A0379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000</w:t>
      </w:r>
      <w:r w:rsidR="00510355" w:rsidRPr="007A0379">
        <w:rPr>
          <w:b/>
          <w:noProof/>
          <w:color w:val="auto"/>
          <w:sz w:val="22"/>
          <w:szCs w:val="22"/>
        </w:rPr>
        <w:t>–</w:t>
      </w:r>
      <w:r w:rsidRPr="007A0379">
        <w:rPr>
          <w:color w:val="auto"/>
          <w:sz w:val="22"/>
          <w:szCs w:val="22"/>
        </w:rPr>
        <w:t>&lt;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1/1000), nagyon ritka (&lt;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1/10</w:t>
      </w:r>
      <w:r w:rsidR="00510355" w:rsidRPr="007A0379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 xml:space="preserve">000), </w:t>
      </w:r>
    </w:p>
    <w:p w14:paraId="36AC2F87" w14:textId="77777777" w:rsidR="00A40D89" w:rsidRPr="007A0379" w:rsidRDefault="008428C6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2D464B">
        <w:rPr>
          <w:color w:val="auto"/>
          <w:sz w:val="22"/>
          <w:szCs w:val="22"/>
        </w:rPr>
        <w:t xml:space="preserve">nem ismert (a rendelkezésre álló adatokból nem állapítható meg). </w:t>
      </w:r>
      <w:r w:rsidR="00BA7B4A" w:rsidRPr="00BA7B4A">
        <w:rPr>
          <w:color w:val="auto"/>
          <w:sz w:val="22"/>
          <w:szCs w:val="22"/>
        </w:rPr>
        <w:t>A mellékhatásként jelentett tünetek némelyike a migrén tüneteivel állhat összefüggésben.</w:t>
      </w:r>
    </w:p>
    <w:p w14:paraId="06A80CE9" w14:textId="77777777" w:rsidR="00A40D89" w:rsidRPr="00BA7B4A" w:rsidRDefault="00A40D89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78040954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Immunrendszeri betegségek és tünetek</w:t>
      </w:r>
    </w:p>
    <w:p w14:paraId="4DE6CEAE" w14:textId="77777777" w:rsidR="00BA7B4A" w:rsidRPr="00BA7B4A" w:rsidRDefault="00BA7B4A" w:rsidP="009F06F4">
      <w:pPr>
        <w:keepNext/>
        <w:tabs>
          <w:tab w:val="left" w:pos="567"/>
        </w:tabs>
        <w:ind w:left="1695" w:hanging="1695"/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Nem ismert:</w:t>
      </w:r>
      <w:r w:rsidRPr="00BA7B4A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ab/>
        <w:t xml:space="preserve">Túlérzékenységi reakciók a bőrön jelentkező túlérzékenységtől (pl. csalánkiütés) az </w:t>
      </w:r>
      <w:r w:rsidRPr="00BA7B4A">
        <w:rPr>
          <w:color w:val="auto"/>
          <w:sz w:val="22"/>
          <w:szCs w:val="22"/>
        </w:rPr>
        <w:lastRenderedPageBreak/>
        <w:t>anafilaxiás reakcióig.</w:t>
      </w:r>
    </w:p>
    <w:p w14:paraId="2A93CA18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02BCCF3E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Idegrendszeri betegségek és tünetek</w:t>
      </w:r>
    </w:p>
    <w:p w14:paraId="20672CCE" w14:textId="77777777" w:rsidR="00BA7B4A" w:rsidRPr="00BA7B4A" w:rsidRDefault="00BA7B4A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Gyakori:</w:t>
      </w:r>
      <w:r w:rsidRPr="00BA7B4A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ab/>
        <w:t>Szédülés, álmosság, érzékelési zavarok mint paraesthesia és hypoaesthesia.</w:t>
      </w:r>
    </w:p>
    <w:p w14:paraId="312EA5EB" w14:textId="77777777" w:rsidR="00631DC6" w:rsidRDefault="00631DC6" w:rsidP="00BA7B4A">
      <w:pPr>
        <w:tabs>
          <w:tab w:val="left" w:pos="567"/>
        </w:tabs>
        <w:ind w:left="1701" w:hanging="1695"/>
        <w:rPr>
          <w:color w:val="auto"/>
          <w:sz w:val="22"/>
          <w:szCs w:val="22"/>
        </w:rPr>
      </w:pPr>
    </w:p>
    <w:p w14:paraId="659FF2FF" w14:textId="77777777" w:rsidR="00BA7B4A" w:rsidRPr="00BA7B4A" w:rsidRDefault="00BA7B4A" w:rsidP="00BA7B4A">
      <w:pPr>
        <w:tabs>
          <w:tab w:val="left" w:pos="567"/>
        </w:tabs>
        <w:ind w:left="1701" w:hanging="1695"/>
        <w:rPr>
          <w:color w:val="auto"/>
          <w:sz w:val="22"/>
          <w:szCs w:val="22"/>
        </w:rPr>
      </w:pPr>
      <w:r w:rsidRPr="00DC0839">
        <w:rPr>
          <w:color w:val="auto"/>
          <w:sz w:val="22"/>
          <w:szCs w:val="22"/>
        </w:rPr>
        <w:t>Nem ismert:</w:t>
      </w:r>
      <w:r w:rsidRPr="00DC0839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 xml:space="preserve">Görcsrohamok, bár ezek néhány esetben olyan betegekben léptek fel, akiknek vagy szerepelt már </w:t>
      </w:r>
      <w:r w:rsidR="00631DC6">
        <w:rPr>
          <w:color w:val="auto"/>
          <w:sz w:val="22"/>
          <w:szCs w:val="22"/>
        </w:rPr>
        <w:t>görcs</w:t>
      </w:r>
      <w:r w:rsidRPr="00BA7B4A">
        <w:rPr>
          <w:color w:val="auto"/>
          <w:sz w:val="22"/>
          <w:szCs w:val="22"/>
        </w:rPr>
        <w:t>roham a kórelőzményében, vagy fennálltak a rohamra hajlamosító állapotok. Olyan esetekről is beszámoltak, amelyekben nem voltak nyilvánvaló hajlamosító tényezők. Nystagmus, scotoma, tremor, dystonia.</w:t>
      </w:r>
    </w:p>
    <w:p w14:paraId="443A1D8B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048C2F79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Szembetegségek és szemészeti tünetek</w:t>
      </w:r>
    </w:p>
    <w:p w14:paraId="1105DD7F" w14:textId="77777777" w:rsidR="00BA7B4A" w:rsidRPr="00BA7B4A" w:rsidRDefault="00BA7B4A" w:rsidP="009F06F4">
      <w:pPr>
        <w:keepNext/>
        <w:tabs>
          <w:tab w:val="left" w:pos="567"/>
        </w:tabs>
        <w:ind w:left="1695" w:hanging="1695"/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Nem ismert:</w:t>
      </w:r>
      <w:r w:rsidRPr="00BA7B4A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>Hunyorgás, kettőslátás, látásromlás. Látásvesztés, köztük maradandó károsodásokról szóló jelentésekkel. Látászavarok ugyanakkor a migrénroham kapcsán is előfordulhatnak.</w:t>
      </w:r>
    </w:p>
    <w:p w14:paraId="290F0EE1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41BA9AFD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Szívbetegségek és a szívvel kapcsolatos tünetek</w:t>
      </w:r>
    </w:p>
    <w:p w14:paraId="2ED8C02A" w14:textId="77777777" w:rsidR="00BA7B4A" w:rsidRPr="00BA7B4A" w:rsidRDefault="00BA7B4A" w:rsidP="009F06F4">
      <w:pPr>
        <w:keepNext/>
        <w:tabs>
          <w:tab w:val="left" w:pos="567"/>
        </w:tabs>
        <w:ind w:left="1701" w:hanging="1695"/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Nem ismert:</w:t>
      </w:r>
      <w:r w:rsidRPr="00BA7B4A">
        <w:rPr>
          <w:color w:val="auto"/>
          <w:sz w:val="22"/>
          <w:szCs w:val="22"/>
        </w:rPr>
        <w:tab/>
        <w:t xml:space="preserve">Bradycardia, tachycardia, </w:t>
      </w:r>
      <w:r w:rsidR="00AD2F46">
        <w:rPr>
          <w:color w:val="auto"/>
          <w:sz w:val="22"/>
          <w:szCs w:val="22"/>
        </w:rPr>
        <w:t>palpitatio</w:t>
      </w:r>
      <w:r w:rsidRPr="00BA7B4A">
        <w:rPr>
          <w:color w:val="auto"/>
          <w:sz w:val="22"/>
          <w:szCs w:val="22"/>
        </w:rPr>
        <w:t xml:space="preserve">, </w:t>
      </w:r>
      <w:r w:rsidR="00EE0A7A" w:rsidRPr="00F966C7">
        <w:rPr>
          <w:color w:val="auto"/>
          <w:sz w:val="22"/>
          <w:szCs w:val="22"/>
        </w:rPr>
        <w:t>ar</w:t>
      </w:r>
      <w:r w:rsidR="00EE0A7A">
        <w:rPr>
          <w:color w:val="auto"/>
          <w:sz w:val="22"/>
          <w:szCs w:val="22"/>
        </w:rPr>
        <w:t>rhy</w:t>
      </w:r>
      <w:r w:rsidR="00EE0A7A" w:rsidRPr="00F966C7">
        <w:rPr>
          <w:color w:val="auto"/>
          <w:sz w:val="22"/>
          <w:szCs w:val="22"/>
        </w:rPr>
        <w:t>tmiák</w:t>
      </w:r>
      <w:r w:rsidRPr="00BA7B4A">
        <w:rPr>
          <w:color w:val="auto"/>
          <w:sz w:val="22"/>
          <w:szCs w:val="22"/>
        </w:rPr>
        <w:t>, átmeneti ischaemiás EKG</w:t>
      </w:r>
      <w:r w:rsidR="0091066E">
        <w:rPr>
          <w:color w:val="auto"/>
          <w:sz w:val="22"/>
          <w:szCs w:val="22"/>
        </w:rPr>
        <w:noBreakHyphen/>
      </w:r>
      <w:r w:rsidRPr="00BA7B4A">
        <w:rPr>
          <w:color w:val="auto"/>
          <w:sz w:val="22"/>
          <w:szCs w:val="22"/>
        </w:rPr>
        <w:t>elváltozások, coronaria spasmus, angina, myocardialis infarctus (lásd 4.3 és 4.4</w:t>
      </w:r>
      <w:r w:rsidR="0091066E">
        <w:rPr>
          <w:color w:val="auto"/>
          <w:sz w:val="22"/>
          <w:szCs w:val="22"/>
        </w:rPr>
        <w:t> </w:t>
      </w:r>
      <w:r w:rsidRPr="00BA7B4A">
        <w:rPr>
          <w:color w:val="auto"/>
          <w:sz w:val="22"/>
          <w:szCs w:val="22"/>
        </w:rPr>
        <w:t>pont).</w:t>
      </w:r>
    </w:p>
    <w:p w14:paraId="4C50E672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56A57F6D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Érbetegségek és tünetek</w:t>
      </w:r>
    </w:p>
    <w:p w14:paraId="26165489" w14:textId="77777777" w:rsidR="00BA7B4A" w:rsidRDefault="00BA7B4A" w:rsidP="009F06F4">
      <w:pPr>
        <w:keepNext/>
        <w:tabs>
          <w:tab w:val="left" w:pos="567"/>
        </w:tabs>
        <w:ind w:left="1695" w:hanging="1695"/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Gyakori:</w:t>
      </w:r>
      <w:r w:rsidRPr="00BA7B4A">
        <w:rPr>
          <w:color w:val="auto"/>
          <w:sz w:val="22"/>
          <w:szCs w:val="22"/>
        </w:rPr>
        <w:tab/>
      </w:r>
      <w:r w:rsidR="00631DC6">
        <w:rPr>
          <w:color w:val="auto"/>
          <w:sz w:val="22"/>
          <w:szCs w:val="22"/>
        </w:rPr>
        <w:t>R</w:t>
      </w:r>
      <w:r w:rsidR="006B6EBB" w:rsidRPr="00607596">
        <w:rPr>
          <w:color w:val="auto"/>
          <w:sz w:val="22"/>
          <w:szCs w:val="22"/>
        </w:rPr>
        <w:t>öviddel</w:t>
      </w:r>
      <w:r w:rsidR="006B6EBB" w:rsidRPr="006B6EBB" w:rsidDel="006B6EBB">
        <w:rPr>
          <w:color w:val="auto"/>
          <w:sz w:val="22"/>
          <w:szCs w:val="22"/>
        </w:rPr>
        <w:t xml:space="preserve"> </w:t>
      </w:r>
      <w:r w:rsidR="006B6EBB">
        <w:rPr>
          <w:color w:val="auto"/>
          <w:sz w:val="22"/>
          <w:szCs w:val="22"/>
        </w:rPr>
        <w:t xml:space="preserve">a </w:t>
      </w:r>
      <w:r w:rsidRPr="00BA7B4A">
        <w:rPr>
          <w:color w:val="auto"/>
          <w:sz w:val="22"/>
          <w:szCs w:val="22"/>
        </w:rPr>
        <w:t>kezelés</w:t>
      </w:r>
      <w:r w:rsidR="006B6EBB">
        <w:rPr>
          <w:color w:val="auto"/>
          <w:sz w:val="22"/>
          <w:szCs w:val="22"/>
        </w:rPr>
        <w:t xml:space="preserve">t követően </w:t>
      </w:r>
      <w:r w:rsidRPr="00BA7B4A">
        <w:rPr>
          <w:color w:val="auto"/>
          <w:sz w:val="22"/>
          <w:szCs w:val="22"/>
        </w:rPr>
        <w:t>észlelhető átmeneti vérnyomás</w:t>
      </w:r>
      <w:r w:rsidR="00AD2F46">
        <w:rPr>
          <w:color w:val="auto"/>
          <w:sz w:val="22"/>
          <w:szCs w:val="22"/>
        </w:rPr>
        <w:noBreakHyphen/>
      </w:r>
      <w:r w:rsidRPr="00BA7B4A">
        <w:rPr>
          <w:color w:val="auto"/>
          <w:sz w:val="22"/>
          <w:szCs w:val="22"/>
        </w:rPr>
        <w:t>emelkedés. Kipirulás.</w:t>
      </w:r>
    </w:p>
    <w:p w14:paraId="41B5E0BD" w14:textId="77777777" w:rsidR="0094678B" w:rsidRPr="00BA7B4A" w:rsidRDefault="0094678B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797B8BBF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Nem ismert:</w:t>
      </w:r>
      <w:r w:rsidRPr="00BA7B4A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ab/>
      </w:r>
      <w:r w:rsidR="00AE2356">
        <w:rPr>
          <w:color w:val="auto"/>
          <w:sz w:val="22"/>
          <w:szCs w:val="22"/>
        </w:rPr>
        <w:t>Hypotonia</w:t>
      </w:r>
      <w:r w:rsidRPr="00BA7B4A">
        <w:rPr>
          <w:color w:val="auto"/>
          <w:sz w:val="22"/>
          <w:szCs w:val="22"/>
        </w:rPr>
        <w:t>, Raynaud-jelenség.</w:t>
      </w:r>
    </w:p>
    <w:p w14:paraId="13AD1D78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73503A77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Légzőrendszeri, mellkasi és mediastinalis betegségek és tünetek</w:t>
      </w:r>
    </w:p>
    <w:p w14:paraId="67DFD812" w14:textId="77777777" w:rsidR="00BA7B4A" w:rsidRPr="00BA7B4A" w:rsidRDefault="00BA7B4A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Gyakori:</w:t>
      </w:r>
      <w:r w:rsidRPr="00BA7B4A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ab/>
        <w:t>Dyspnoe.</w:t>
      </w:r>
    </w:p>
    <w:p w14:paraId="117119A9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3AF22A2F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Emésztőrendszeri betegségek és tünetek</w:t>
      </w:r>
    </w:p>
    <w:p w14:paraId="774912FB" w14:textId="77777777" w:rsidR="00BA7B4A" w:rsidRDefault="00BA7B4A" w:rsidP="009F06F4">
      <w:pPr>
        <w:keepNext/>
        <w:tabs>
          <w:tab w:val="left" w:pos="567"/>
        </w:tabs>
        <w:ind w:left="1695" w:hanging="1695"/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Gyakori:</w:t>
      </w:r>
      <w:r w:rsidRPr="00BA7B4A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ab/>
        <w:t>Hányinger és hányás lépett fel néhány betegben, de nem tisztázott, hogy ez a szumatriptánnak, vagy a fennálló állapotnak volt-e tulajdonítható.</w:t>
      </w:r>
    </w:p>
    <w:p w14:paraId="496A1315" w14:textId="77777777" w:rsidR="0094678B" w:rsidRPr="00BA7B4A" w:rsidRDefault="0094678B" w:rsidP="00BA7B4A">
      <w:pPr>
        <w:tabs>
          <w:tab w:val="left" w:pos="567"/>
        </w:tabs>
        <w:ind w:left="1695" w:hanging="1695"/>
        <w:rPr>
          <w:color w:val="auto"/>
          <w:sz w:val="22"/>
          <w:szCs w:val="22"/>
        </w:rPr>
      </w:pPr>
    </w:p>
    <w:p w14:paraId="056AD5B0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Nem ismert:</w:t>
      </w:r>
      <w:r w:rsidRPr="00BA7B4A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ab/>
        <w:t>Ischaemiás colitis, diarrhoea</w:t>
      </w:r>
      <w:r w:rsidR="00621A1C">
        <w:rPr>
          <w:color w:val="auto"/>
          <w:sz w:val="22"/>
          <w:szCs w:val="22"/>
        </w:rPr>
        <w:t>, dysphagia.</w:t>
      </w:r>
    </w:p>
    <w:p w14:paraId="6E94783B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50D57195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A csont- és izomrendszer, valamint a kötőszövet betegségei és tünetei</w:t>
      </w:r>
    </w:p>
    <w:p w14:paraId="27734E9A" w14:textId="77777777" w:rsidR="00BA7B4A" w:rsidRDefault="00BA7B4A" w:rsidP="009F06F4">
      <w:pPr>
        <w:keepNext/>
        <w:tabs>
          <w:tab w:val="left" w:pos="567"/>
        </w:tabs>
        <w:ind w:left="1695" w:hanging="1695"/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Gyakori:</w:t>
      </w:r>
      <w:r w:rsidRPr="00BA7B4A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ab/>
        <w:t>Elnehezülés érzése (általában átmeneti, intenzív érzés lehet, amely a test bármely részét érintheti, például a mellkast és a torkot is). Myalgia</w:t>
      </w:r>
      <w:r w:rsidR="0094678B">
        <w:rPr>
          <w:color w:val="auto"/>
          <w:sz w:val="22"/>
          <w:szCs w:val="22"/>
        </w:rPr>
        <w:t>.</w:t>
      </w:r>
    </w:p>
    <w:p w14:paraId="0D9B2BE3" w14:textId="77777777" w:rsidR="0094678B" w:rsidRPr="00BA7B4A" w:rsidRDefault="0094678B" w:rsidP="00BA7B4A">
      <w:pPr>
        <w:tabs>
          <w:tab w:val="left" w:pos="567"/>
        </w:tabs>
        <w:ind w:left="1695" w:hanging="1695"/>
        <w:rPr>
          <w:color w:val="auto"/>
          <w:sz w:val="22"/>
          <w:szCs w:val="22"/>
        </w:rPr>
      </w:pPr>
    </w:p>
    <w:p w14:paraId="14EF50F3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Nem ismert:</w:t>
      </w:r>
      <w:r w:rsidRPr="00BA7B4A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ab/>
        <w:t>Nyakmerevség, arthralgia</w:t>
      </w:r>
      <w:r w:rsidR="00DF6D13">
        <w:rPr>
          <w:color w:val="auto"/>
          <w:sz w:val="22"/>
          <w:szCs w:val="22"/>
        </w:rPr>
        <w:t>.</w:t>
      </w:r>
      <w:r w:rsidRPr="00BA7B4A">
        <w:rPr>
          <w:color w:val="auto"/>
          <w:sz w:val="22"/>
          <w:szCs w:val="22"/>
        </w:rPr>
        <w:t xml:space="preserve"> </w:t>
      </w:r>
    </w:p>
    <w:p w14:paraId="3C013792" w14:textId="77777777" w:rsid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15BDA5D9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Laboratóriumi és egyéb vizsgálatok eredményei</w:t>
      </w:r>
    </w:p>
    <w:p w14:paraId="27902616" w14:textId="77777777" w:rsidR="00BA7B4A" w:rsidRPr="00BA7B4A" w:rsidRDefault="00BA7B4A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Nagyon ritka:</w:t>
      </w:r>
      <w:r w:rsidRPr="00BA7B4A">
        <w:rPr>
          <w:color w:val="auto"/>
          <w:sz w:val="22"/>
          <w:szCs w:val="22"/>
        </w:rPr>
        <w:tab/>
        <w:t>Alkalmanként enyhe eltéréseket figyeltek meg a májfunkciós értékekben.</w:t>
      </w:r>
    </w:p>
    <w:p w14:paraId="6011F2EE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2BA1859B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Pszichiátriai kórképek</w:t>
      </w:r>
    </w:p>
    <w:p w14:paraId="6E8F496C" w14:textId="77777777" w:rsidR="00BA7B4A" w:rsidRPr="00BA7B4A" w:rsidRDefault="00BA7B4A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Nem ismert:</w:t>
      </w:r>
      <w:r w:rsidRPr="00BA7B4A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ab/>
        <w:t>Szorongás.</w:t>
      </w:r>
    </w:p>
    <w:p w14:paraId="0A00A455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55ACFA2A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A bőr és a bőr alatti szövet betegségei és tünetei</w:t>
      </w:r>
    </w:p>
    <w:p w14:paraId="6805FA51" w14:textId="77777777" w:rsidR="00BA7B4A" w:rsidRDefault="00BA7B4A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Nem ismert:</w:t>
      </w:r>
      <w:r w:rsidRPr="00BA7B4A">
        <w:rPr>
          <w:color w:val="auto"/>
          <w:sz w:val="22"/>
          <w:szCs w:val="22"/>
        </w:rPr>
        <w:tab/>
      </w:r>
      <w:r w:rsidRPr="00BA7B4A">
        <w:rPr>
          <w:color w:val="auto"/>
          <w:sz w:val="22"/>
          <w:szCs w:val="22"/>
        </w:rPr>
        <w:tab/>
        <w:t>Hyperhidrosis.</w:t>
      </w:r>
    </w:p>
    <w:p w14:paraId="4860E631" w14:textId="77777777" w:rsidR="00BA7B4A" w:rsidRP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486BCDCD" w14:textId="77777777" w:rsidR="00BA7B4A" w:rsidRPr="00BA7B4A" w:rsidRDefault="00BA7B4A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BA7B4A">
        <w:rPr>
          <w:b/>
          <w:color w:val="auto"/>
          <w:sz w:val="22"/>
          <w:szCs w:val="22"/>
        </w:rPr>
        <w:t>Általános tünetek, az alkalmazás helyén fellépő reakciók</w:t>
      </w:r>
    </w:p>
    <w:p w14:paraId="6AC30FCE" w14:textId="77777777" w:rsidR="00BA7B4A" w:rsidRPr="00BA7B4A" w:rsidRDefault="00BA7B4A" w:rsidP="009F06F4">
      <w:pPr>
        <w:keepNext/>
        <w:tabs>
          <w:tab w:val="left" w:pos="567"/>
          <w:tab w:val="left" w:pos="1701"/>
        </w:tabs>
        <w:ind w:left="1701" w:hanging="1701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Nagyon gyakori:</w:t>
      </w:r>
      <w:r w:rsidR="002775F2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>Átmeneti f</w:t>
      </w:r>
      <w:r w:rsidRPr="00BA7B4A">
        <w:rPr>
          <w:color w:val="auto"/>
          <w:sz w:val="22"/>
          <w:szCs w:val="22"/>
        </w:rPr>
        <w:t>ájdalo</w:t>
      </w:r>
      <w:r>
        <w:rPr>
          <w:color w:val="auto"/>
          <w:sz w:val="22"/>
          <w:szCs w:val="22"/>
        </w:rPr>
        <w:t>m az injekció beadási helyén. Szúró/égő érzést, duzzanatot, erythemát, véraláfutást és vérzést szintén jelentettek az injekció beadási helyén.</w:t>
      </w:r>
    </w:p>
    <w:p w14:paraId="584245F9" w14:textId="77777777" w:rsid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01835021" w14:textId="77777777" w:rsidR="00E33F6F" w:rsidRDefault="00E33F6F" w:rsidP="00E33F6F">
      <w:pPr>
        <w:tabs>
          <w:tab w:val="left" w:pos="567"/>
        </w:tabs>
        <w:ind w:left="1695" w:hanging="1695"/>
        <w:rPr>
          <w:color w:val="auto"/>
          <w:sz w:val="22"/>
          <w:szCs w:val="22"/>
        </w:rPr>
      </w:pPr>
      <w:r w:rsidRPr="009627DD">
        <w:rPr>
          <w:color w:val="auto"/>
          <w:sz w:val="22"/>
          <w:szCs w:val="22"/>
        </w:rPr>
        <w:t>Gyakori:</w:t>
      </w:r>
      <w:r w:rsidRPr="009627DD">
        <w:rPr>
          <w:color w:val="auto"/>
          <w:sz w:val="22"/>
          <w:szCs w:val="22"/>
        </w:rPr>
        <w:tab/>
      </w:r>
      <w:r w:rsidRPr="009627DD">
        <w:rPr>
          <w:color w:val="auto"/>
          <w:sz w:val="22"/>
          <w:szCs w:val="22"/>
        </w:rPr>
        <w:tab/>
        <w:t>Fájdalom, melegség-, hideg- vagy nyomásérzés (ezek a jelenségek általában átmenetiek, intenzívek lehetnek, és a test bármely részét érinthetik, például a mellkast és a torkot is). Gyengeség, kimerültségérzés (általában mindkét jelenség enyhe-</w:t>
      </w:r>
      <w:r w:rsidR="0091066E">
        <w:rPr>
          <w:color w:val="auto"/>
          <w:sz w:val="22"/>
          <w:szCs w:val="22"/>
        </w:rPr>
        <w:t xml:space="preserve">, </w:t>
      </w:r>
      <w:r w:rsidRPr="009627DD">
        <w:rPr>
          <w:color w:val="auto"/>
          <w:sz w:val="22"/>
          <w:szCs w:val="22"/>
        </w:rPr>
        <w:t>közepes intenzitású és átmeneti).</w:t>
      </w:r>
    </w:p>
    <w:p w14:paraId="25A5C055" w14:textId="77777777" w:rsidR="00621A1C" w:rsidRPr="009627DD" w:rsidRDefault="00621A1C" w:rsidP="00E33F6F">
      <w:pPr>
        <w:tabs>
          <w:tab w:val="left" w:pos="567"/>
        </w:tabs>
        <w:ind w:left="1695" w:hanging="1695"/>
        <w:rPr>
          <w:color w:val="auto"/>
          <w:sz w:val="22"/>
          <w:szCs w:val="22"/>
        </w:rPr>
      </w:pPr>
    </w:p>
    <w:p w14:paraId="62D03526" w14:textId="77777777" w:rsidR="00E33F6F" w:rsidRDefault="00621A1C" w:rsidP="00BA7B4A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Nem ismert</w:t>
      </w:r>
      <w:r w:rsidR="00A25687">
        <w:rPr>
          <w:color w:val="auto"/>
          <w:sz w:val="22"/>
          <w:szCs w:val="22"/>
        </w:rPr>
        <w:t>: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  <w:t>Traumás fájdalom, gyulladásos fájdalom.</w:t>
      </w:r>
    </w:p>
    <w:p w14:paraId="6893E7F4" w14:textId="77777777" w:rsidR="00621A1C" w:rsidRDefault="00621A1C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0D366871" w14:textId="77777777" w:rsid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Bár közvetlen összehasonlítás nem áll rendelkezésre, a kipirulás, a paraesthesia és a melegség-, nyomás-, illetve nehézségérzet szintén gyakoribb lehet a szumatriptán injekció beadását követően.</w:t>
      </w:r>
    </w:p>
    <w:p w14:paraId="7B5160A2" w14:textId="77777777" w:rsid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</w:p>
    <w:p w14:paraId="7BF51FC8" w14:textId="77777777" w:rsidR="00BA7B4A" w:rsidRDefault="00BA7B4A" w:rsidP="00BA7B4A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Ezzel szemben az émelygés, a hányás, a fáradtság kevésbé gyakori a szumatriptán subcutan injekció beadása után a tabletta bevételéhez képest.</w:t>
      </w:r>
    </w:p>
    <w:p w14:paraId="05D14275" w14:textId="77777777" w:rsidR="00FE2213" w:rsidRPr="009C5E40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47EF2D4A" w14:textId="77777777" w:rsidR="009F06F4" w:rsidRPr="009C5E40" w:rsidRDefault="009F06F4" w:rsidP="009F06F4">
      <w:pPr>
        <w:keepNext/>
        <w:rPr>
          <w:sz w:val="22"/>
          <w:szCs w:val="22"/>
          <w:u w:val="single"/>
        </w:rPr>
      </w:pPr>
      <w:r w:rsidRPr="009C5E40">
        <w:rPr>
          <w:sz w:val="22"/>
          <w:szCs w:val="22"/>
          <w:u w:val="single"/>
        </w:rPr>
        <w:t>Feltételezett mellékhatások bejelentése</w:t>
      </w:r>
    </w:p>
    <w:p w14:paraId="3DA93EDC" w14:textId="77777777" w:rsidR="009F06F4" w:rsidRPr="009C5E40" w:rsidRDefault="009F06F4" w:rsidP="009F06F4">
      <w:pPr>
        <w:keepNext/>
        <w:rPr>
          <w:sz w:val="22"/>
          <w:szCs w:val="22"/>
        </w:rPr>
      </w:pPr>
      <w:r w:rsidRPr="009C5E40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0DD42A2" w14:textId="68F1D1BB" w:rsidR="009F06F4" w:rsidRPr="009C5E40" w:rsidRDefault="009F06F4" w:rsidP="009F06F4">
      <w:pPr>
        <w:tabs>
          <w:tab w:val="left" w:pos="567"/>
        </w:tabs>
        <w:rPr>
          <w:sz w:val="22"/>
          <w:szCs w:val="22"/>
        </w:rPr>
      </w:pPr>
      <w:r w:rsidRPr="009C5E40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0" w:history="1">
        <w:r w:rsidRPr="00174FD7">
          <w:rPr>
            <w:rStyle w:val="Hiperhivatkozs"/>
            <w:sz w:val="22"/>
            <w:szCs w:val="22"/>
          </w:rPr>
          <w:t>V. függelékben</w:t>
        </w:r>
      </w:hyperlink>
      <w:r w:rsidRPr="00174FD7">
        <w:rPr>
          <w:sz w:val="22"/>
          <w:szCs w:val="22"/>
        </w:rPr>
        <w:t xml:space="preserve"> </w:t>
      </w:r>
      <w:r w:rsidRPr="002775F2">
        <w:rPr>
          <w:sz w:val="22"/>
          <w:szCs w:val="22"/>
        </w:rPr>
        <w:t>található elérhetőségek valamelyikén keresztü</w:t>
      </w:r>
      <w:r w:rsidRPr="00174FD7">
        <w:rPr>
          <w:sz w:val="22"/>
          <w:szCs w:val="22"/>
        </w:rPr>
        <w:t>l</w:t>
      </w:r>
      <w:r w:rsidRPr="002775F2">
        <w:rPr>
          <w:sz w:val="22"/>
          <w:szCs w:val="22"/>
        </w:rPr>
        <w:t>.</w:t>
      </w:r>
    </w:p>
    <w:p w14:paraId="635209FB" w14:textId="77777777" w:rsidR="009F06F4" w:rsidRPr="009C5E40" w:rsidRDefault="009F06F4" w:rsidP="009F06F4">
      <w:pPr>
        <w:tabs>
          <w:tab w:val="left" w:pos="567"/>
        </w:tabs>
        <w:rPr>
          <w:color w:val="auto"/>
          <w:sz w:val="22"/>
          <w:szCs w:val="22"/>
        </w:rPr>
      </w:pPr>
    </w:p>
    <w:p w14:paraId="5D55C6D0" w14:textId="77777777" w:rsidR="00FE2213" w:rsidRPr="007A0379" w:rsidRDefault="00FE2213" w:rsidP="009F06F4">
      <w:pPr>
        <w:keepNext/>
        <w:numPr>
          <w:ilvl w:val="1"/>
          <w:numId w:val="1"/>
        </w:numPr>
        <w:tabs>
          <w:tab w:val="left" w:pos="567"/>
        </w:tabs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Túladagolás</w:t>
      </w:r>
    </w:p>
    <w:p w14:paraId="3EB8F13B" w14:textId="77777777" w:rsidR="00FE2213" w:rsidRPr="00BA7B4A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</w:p>
    <w:p w14:paraId="580B2BD7" w14:textId="77777777" w:rsidR="00BA7B4A" w:rsidRPr="00BA7B4A" w:rsidRDefault="00BA7B4A" w:rsidP="00771073">
      <w:pPr>
        <w:tabs>
          <w:tab w:val="left" w:pos="567"/>
        </w:tabs>
        <w:rPr>
          <w:i/>
          <w:color w:val="auto"/>
          <w:sz w:val="22"/>
          <w:szCs w:val="22"/>
        </w:rPr>
      </w:pPr>
      <w:r w:rsidRPr="00BA7B4A">
        <w:rPr>
          <w:i/>
          <w:color w:val="auto"/>
          <w:sz w:val="22"/>
          <w:szCs w:val="22"/>
        </w:rPr>
        <w:t>Jelek és tünetek</w:t>
      </w:r>
    </w:p>
    <w:p w14:paraId="3F9DB4EB" w14:textId="77777777" w:rsidR="00BA7B4A" w:rsidRPr="00BA7B4A" w:rsidRDefault="00BA7B4A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BA7B4A">
        <w:rPr>
          <w:color w:val="auto"/>
          <w:sz w:val="22"/>
          <w:szCs w:val="22"/>
        </w:rPr>
        <w:t>Néhány jelentés ismeretes a szumatriptán injekció túladagolásával kapcsolatban.</w:t>
      </w:r>
    </w:p>
    <w:p w14:paraId="20325EBC" w14:textId="77777777" w:rsidR="00BA7B4A" w:rsidRDefault="00BA7B4A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47691116" w14:textId="77777777" w:rsidR="00FE2213" w:rsidRDefault="00B35592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B35592">
        <w:rPr>
          <w:color w:val="auto"/>
          <w:sz w:val="22"/>
          <w:szCs w:val="22"/>
        </w:rPr>
        <w:t>Betegek jelentős mellékhatások jelentkez</w:t>
      </w:r>
      <w:r w:rsidR="00E33F6F">
        <w:rPr>
          <w:color w:val="auto"/>
          <w:sz w:val="22"/>
          <w:szCs w:val="22"/>
        </w:rPr>
        <w:t xml:space="preserve">ése nélkül kaptak legfeljebb </w:t>
      </w:r>
      <w:r w:rsidR="00E33F6F" w:rsidRPr="00174FD7">
        <w:rPr>
          <w:sz w:val="22"/>
          <w:szCs w:val="22"/>
        </w:rPr>
        <w:t>12 </w:t>
      </w:r>
      <w:r w:rsidRPr="00174FD7">
        <w:rPr>
          <w:sz w:val="22"/>
          <w:szCs w:val="22"/>
        </w:rPr>
        <w:t>mg</w:t>
      </w:r>
      <w:r w:rsidRPr="00B35592">
        <w:rPr>
          <w:color w:val="auto"/>
          <w:sz w:val="22"/>
          <w:szCs w:val="22"/>
        </w:rPr>
        <w:t>-ig terjedő egyszeri injekciókat.</w:t>
      </w:r>
      <w:r w:rsidR="00E33F6F">
        <w:rPr>
          <w:color w:val="auto"/>
          <w:sz w:val="22"/>
          <w:szCs w:val="22"/>
        </w:rPr>
        <w:t xml:space="preserve"> A 16 </w:t>
      </w:r>
      <w:r>
        <w:rPr>
          <w:color w:val="auto"/>
          <w:sz w:val="22"/>
          <w:szCs w:val="22"/>
        </w:rPr>
        <w:t>mg-ig terjedő</w:t>
      </w:r>
      <w:r w:rsidRPr="00B35592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subcutan </w:t>
      </w:r>
      <w:r w:rsidRPr="00B35592">
        <w:rPr>
          <w:color w:val="auto"/>
          <w:sz w:val="22"/>
          <w:szCs w:val="22"/>
        </w:rPr>
        <w:t xml:space="preserve">adagok nem okoztak az említettektől eltérő mellékhatásokat. </w:t>
      </w:r>
    </w:p>
    <w:p w14:paraId="24C15B13" w14:textId="77777777" w:rsidR="0056060B" w:rsidRDefault="0056060B" w:rsidP="00771073">
      <w:pPr>
        <w:tabs>
          <w:tab w:val="left" w:pos="567"/>
        </w:tabs>
        <w:rPr>
          <w:i/>
          <w:color w:val="auto"/>
          <w:sz w:val="22"/>
          <w:szCs w:val="22"/>
        </w:rPr>
      </w:pPr>
    </w:p>
    <w:p w14:paraId="28CFB8D4" w14:textId="77777777" w:rsidR="00907712" w:rsidRPr="00907712" w:rsidRDefault="00907712" w:rsidP="00771073">
      <w:pPr>
        <w:tabs>
          <w:tab w:val="left" w:pos="567"/>
        </w:tabs>
        <w:rPr>
          <w:i/>
          <w:color w:val="auto"/>
          <w:sz w:val="22"/>
          <w:szCs w:val="22"/>
        </w:rPr>
      </w:pPr>
      <w:r w:rsidRPr="00907712">
        <w:rPr>
          <w:i/>
          <w:color w:val="auto"/>
          <w:sz w:val="22"/>
          <w:szCs w:val="22"/>
        </w:rPr>
        <w:t>Kezelés:</w:t>
      </w:r>
    </w:p>
    <w:p w14:paraId="43F25716" w14:textId="77777777" w:rsidR="00FE2213" w:rsidRPr="00B35592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B35592">
        <w:rPr>
          <w:color w:val="auto"/>
          <w:sz w:val="22"/>
          <w:szCs w:val="22"/>
        </w:rPr>
        <w:t>Túladagolás esetén a beteget legalább 10</w:t>
      </w:r>
      <w:r w:rsidR="00593F64">
        <w:rPr>
          <w:color w:val="auto"/>
          <w:sz w:val="22"/>
          <w:szCs w:val="22"/>
        </w:rPr>
        <w:t> </w:t>
      </w:r>
      <w:r w:rsidRPr="00B35592">
        <w:rPr>
          <w:color w:val="auto"/>
          <w:sz w:val="22"/>
          <w:szCs w:val="22"/>
        </w:rPr>
        <w:t>órán keresztül megfigyelés alatt kell tartani, és szükség esetén tüneti kezelést kell alkalmazni.</w:t>
      </w:r>
      <w:r w:rsidR="00ED4516" w:rsidRPr="00B35592" w:rsidDel="00ED4516">
        <w:rPr>
          <w:color w:val="auto"/>
          <w:sz w:val="22"/>
          <w:szCs w:val="22"/>
        </w:rPr>
        <w:t xml:space="preserve"> </w:t>
      </w:r>
      <w:r w:rsidRPr="00B35592">
        <w:rPr>
          <w:color w:val="auto"/>
          <w:sz w:val="22"/>
          <w:szCs w:val="22"/>
        </w:rPr>
        <w:t>Nem ismeretes, milyen hatással van a hemodial</w:t>
      </w:r>
      <w:r w:rsidR="00E464FA" w:rsidRPr="00B35592">
        <w:rPr>
          <w:color w:val="auto"/>
          <w:sz w:val="22"/>
          <w:szCs w:val="22"/>
        </w:rPr>
        <w:t>íz</w:t>
      </w:r>
      <w:r w:rsidRPr="00B35592">
        <w:rPr>
          <w:color w:val="auto"/>
          <w:sz w:val="22"/>
          <w:szCs w:val="22"/>
        </w:rPr>
        <w:t xml:space="preserve">is </w:t>
      </w:r>
      <w:r w:rsidR="006B6EBB">
        <w:rPr>
          <w:color w:val="auto"/>
          <w:sz w:val="22"/>
          <w:szCs w:val="22"/>
        </w:rPr>
        <w:t xml:space="preserve">vagy a </w:t>
      </w:r>
      <w:r w:rsidRPr="00B35592">
        <w:rPr>
          <w:color w:val="auto"/>
          <w:sz w:val="22"/>
          <w:szCs w:val="22"/>
        </w:rPr>
        <w:t xml:space="preserve">peritonealis </w:t>
      </w:r>
      <w:r w:rsidR="00E464FA" w:rsidRPr="00B35592">
        <w:rPr>
          <w:color w:val="auto"/>
          <w:sz w:val="22"/>
          <w:szCs w:val="22"/>
        </w:rPr>
        <w:t xml:space="preserve">dialízis </w:t>
      </w:r>
      <w:r w:rsidRPr="00B35592">
        <w:rPr>
          <w:color w:val="auto"/>
          <w:sz w:val="22"/>
          <w:szCs w:val="22"/>
        </w:rPr>
        <w:t>a szumatriptán plazmakoncentrációjára.</w:t>
      </w:r>
    </w:p>
    <w:p w14:paraId="4303B811" w14:textId="77777777" w:rsidR="00FE2213" w:rsidRPr="00B35592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00B92C30" w14:textId="77777777" w:rsidR="00B35592" w:rsidRPr="00B35592" w:rsidRDefault="00B35592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5AE0CFE7" w14:textId="77777777" w:rsidR="00FE2213" w:rsidRPr="007A0379" w:rsidRDefault="00FE2213" w:rsidP="009F06F4">
      <w:pPr>
        <w:keepNext/>
        <w:tabs>
          <w:tab w:val="left" w:pos="567"/>
        </w:tabs>
        <w:rPr>
          <w:b/>
          <w:caps/>
          <w:color w:val="auto"/>
          <w:sz w:val="22"/>
          <w:szCs w:val="22"/>
        </w:rPr>
      </w:pPr>
      <w:r w:rsidRPr="007A0379">
        <w:rPr>
          <w:b/>
          <w:caps/>
          <w:color w:val="auto"/>
          <w:sz w:val="22"/>
          <w:szCs w:val="22"/>
        </w:rPr>
        <w:t>5.</w:t>
      </w:r>
      <w:r w:rsidRPr="007A0379">
        <w:rPr>
          <w:b/>
          <w:caps/>
          <w:color w:val="auto"/>
          <w:sz w:val="22"/>
          <w:szCs w:val="22"/>
        </w:rPr>
        <w:tab/>
        <w:t>Farmakológiai tulajdonságok</w:t>
      </w:r>
    </w:p>
    <w:p w14:paraId="7D94C009" w14:textId="77777777" w:rsidR="00FE2213" w:rsidRPr="007A0379" w:rsidRDefault="00FE2213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4E980CE2" w14:textId="77777777" w:rsidR="00FE2213" w:rsidRPr="007A0379" w:rsidRDefault="00FE2213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5.1.</w:t>
      </w:r>
      <w:r w:rsidRPr="007A0379">
        <w:rPr>
          <w:b/>
          <w:color w:val="auto"/>
          <w:sz w:val="22"/>
          <w:szCs w:val="22"/>
        </w:rPr>
        <w:tab/>
        <w:t>Farmakodinámiás tulajdonságok</w:t>
      </w:r>
    </w:p>
    <w:p w14:paraId="3A331E6E" w14:textId="77777777" w:rsidR="00FE2213" w:rsidRPr="007A0379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</w:p>
    <w:p w14:paraId="5623441E" w14:textId="77777777" w:rsidR="008428C6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Farmakoterápiás csoport: </w:t>
      </w:r>
      <w:r w:rsidR="004F3F5B">
        <w:rPr>
          <w:color w:val="auto"/>
          <w:sz w:val="22"/>
          <w:szCs w:val="22"/>
        </w:rPr>
        <w:t>Szelektív 5-HT</w:t>
      </w:r>
      <w:r w:rsidR="004F3F5B" w:rsidRPr="00DB69AC">
        <w:rPr>
          <w:color w:val="auto"/>
          <w:sz w:val="22"/>
          <w:szCs w:val="22"/>
          <w:vertAlign w:val="subscript"/>
        </w:rPr>
        <w:t>1</w:t>
      </w:r>
      <w:r w:rsidR="004F3F5B">
        <w:rPr>
          <w:color w:val="auto"/>
          <w:sz w:val="22"/>
          <w:szCs w:val="22"/>
        </w:rPr>
        <w:t xml:space="preserve"> receptor agonisták</w:t>
      </w:r>
    </w:p>
    <w:p w14:paraId="21F90ACB" w14:textId="569BF3FF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ATC</w:t>
      </w:r>
      <w:r w:rsidR="008428C6">
        <w:rPr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kód: N02CC01</w:t>
      </w:r>
    </w:p>
    <w:p w14:paraId="6A1FC3B1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5FA3551C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szumatriptán a vascularis 5</w:t>
      </w:r>
      <w:r w:rsidR="002775F2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>hidroxitriptamin</w:t>
      </w:r>
      <w:r w:rsidR="00AD2F46">
        <w:rPr>
          <w:color w:val="auto"/>
          <w:sz w:val="22"/>
          <w:szCs w:val="22"/>
          <w:vertAlign w:val="subscript"/>
        </w:rPr>
        <w:t>1</w:t>
      </w:r>
      <w:r w:rsidRPr="007A0379">
        <w:rPr>
          <w:color w:val="auto"/>
          <w:position w:val="-1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(5HT</w:t>
      </w:r>
      <w:r w:rsidRPr="00DB69AC">
        <w:rPr>
          <w:color w:val="auto"/>
          <w:position w:val="-1"/>
          <w:sz w:val="22"/>
          <w:szCs w:val="22"/>
          <w:vertAlign w:val="subscript"/>
        </w:rPr>
        <w:t>1</w:t>
      </w:r>
      <w:r w:rsidRPr="00C707EB">
        <w:rPr>
          <w:color w:val="auto"/>
          <w:position w:val="-1"/>
          <w:sz w:val="22"/>
          <w:szCs w:val="22"/>
          <w:vertAlign w:val="subscript"/>
        </w:rPr>
        <w:t>D</w:t>
      </w:r>
      <w:r w:rsidRPr="007A0379">
        <w:rPr>
          <w:color w:val="auto"/>
          <w:sz w:val="22"/>
          <w:szCs w:val="22"/>
        </w:rPr>
        <w:t>) receptor szelektív agonistája, melynek nincs hatása az egyéb 5HT receptor altípusokra (5HT</w:t>
      </w:r>
      <w:r w:rsidRPr="00DB69AC">
        <w:rPr>
          <w:color w:val="auto"/>
          <w:sz w:val="22"/>
          <w:szCs w:val="22"/>
          <w:vertAlign w:val="subscript"/>
        </w:rPr>
        <w:t>2-7</w:t>
      </w:r>
      <w:r w:rsidRPr="007A0379">
        <w:rPr>
          <w:color w:val="auto"/>
          <w:sz w:val="22"/>
          <w:szCs w:val="22"/>
        </w:rPr>
        <w:t>). Ez a receptor túlnyomórészt a cranialis erekben fordul elő és vasoconstrictor hatást közvetít.</w:t>
      </w:r>
    </w:p>
    <w:p w14:paraId="1804FE06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1291E068" w14:textId="77777777" w:rsidR="00F61186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Állatokban a szumatriptán az arteria carotis szelektív constricti</w:t>
      </w:r>
      <w:r w:rsidR="00B33E39">
        <w:rPr>
          <w:color w:val="auto"/>
          <w:sz w:val="22"/>
          <w:szCs w:val="22"/>
        </w:rPr>
        <w:t>ó</w:t>
      </w:r>
      <w:r w:rsidRPr="007A0379">
        <w:rPr>
          <w:color w:val="auto"/>
          <w:sz w:val="22"/>
          <w:szCs w:val="22"/>
        </w:rPr>
        <w:t xml:space="preserve">ját okozza anélkül, hogy a cerebralis keringést befolyásolná. Az arteria carotis rendszer biztosítja az extracranialis és az intracranialis szövetek, valamint az agyhártya vérellátását. Ezen erek </w:t>
      </w:r>
      <w:r w:rsidR="00AD2F46">
        <w:rPr>
          <w:color w:val="auto"/>
          <w:sz w:val="22"/>
          <w:szCs w:val="22"/>
        </w:rPr>
        <w:t>dil</w:t>
      </w:r>
      <w:r w:rsidR="00593F64">
        <w:rPr>
          <w:color w:val="auto"/>
          <w:sz w:val="22"/>
          <w:szCs w:val="22"/>
        </w:rPr>
        <w:t>a</w:t>
      </w:r>
      <w:r w:rsidR="00AD2F46">
        <w:rPr>
          <w:color w:val="auto"/>
          <w:sz w:val="22"/>
          <w:szCs w:val="22"/>
        </w:rPr>
        <w:t>tatiójának</w:t>
      </w:r>
      <w:r w:rsidR="00AD2F46" w:rsidRPr="007A0379">
        <w:rPr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és/vagy oedemájának jelentős szerepet tulajdonítanak a migrén kialakulásában. Ezenkív</w:t>
      </w:r>
      <w:r w:rsidR="008734CB">
        <w:rPr>
          <w:color w:val="auto"/>
          <w:sz w:val="22"/>
          <w:szCs w:val="22"/>
        </w:rPr>
        <w:t>ü</w:t>
      </w:r>
      <w:r w:rsidRPr="007A0379">
        <w:rPr>
          <w:color w:val="auto"/>
          <w:sz w:val="22"/>
          <w:szCs w:val="22"/>
        </w:rPr>
        <w:t>l, kísérletes adatok szerint a szumatriptán gátolja a nervus trigeminus aktivitását. Feltehetően mindkét hatás hozzájárul a szumatriptán migrénellenes hatásához.</w:t>
      </w:r>
    </w:p>
    <w:p w14:paraId="015AC06A" w14:textId="77777777" w:rsidR="00365402" w:rsidRPr="007A0379" w:rsidRDefault="00365402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119452B1" w14:textId="77777777" w:rsidR="00B95754" w:rsidRPr="009F06F4" w:rsidRDefault="00B95754" w:rsidP="009F06F4">
      <w:pPr>
        <w:keepNext/>
        <w:tabs>
          <w:tab w:val="left" w:pos="567"/>
        </w:tabs>
        <w:rPr>
          <w:i/>
          <w:color w:val="auto"/>
          <w:sz w:val="22"/>
          <w:szCs w:val="22"/>
        </w:rPr>
      </w:pPr>
      <w:r w:rsidRPr="009F06F4">
        <w:rPr>
          <w:i/>
          <w:color w:val="auto"/>
          <w:sz w:val="22"/>
          <w:szCs w:val="22"/>
        </w:rPr>
        <w:t>Farmakodinámiás hatások</w:t>
      </w:r>
    </w:p>
    <w:p w14:paraId="0234FBEA" w14:textId="77777777" w:rsidR="00B95754" w:rsidRPr="007A0379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klinikai hatás 6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mg szumatriptán sc. beadása után 10-15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perccel, 20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mg intranasalis adagolása után 15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 xml:space="preserve"> perccel, és 100</w:t>
      </w:r>
      <w:r w:rsidR="00C707EB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 xml:space="preserve">mg </w:t>
      </w:r>
      <w:r w:rsidR="00347B89">
        <w:rPr>
          <w:color w:val="auto"/>
          <w:sz w:val="22"/>
          <w:szCs w:val="22"/>
        </w:rPr>
        <w:t>orális</w:t>
      </w:r>
      <w:r w:rsidRPr="007A0379">
        <w:rPr>
          <w:color w:val="auto"/>
          <w:sz w:val="22"/>
          <w:szCs w:val="22"/>
        </w:rPr>
        <w:t xml:space="preserve"> bevétele után </w:t>
      </w:r>
      <w:r w:rsidR="00E464FA" w:rsidRPr="007A0379">
        <w:rPr>
          <w:color w:val="auto"/>
          <w:sz w:val="22"/>
          <w:szCs w:val="22"/>
        </w:rPr>
        <w:t xml:space="preserve">kb. </w:t>
      </w:r>
      <w:r w:rsidRPr="007A0379">
        <w:rPr>
          <w:color w:val="auto"/>
          <w:sz w:val="22"/>
          <w:szCs w:val="22"/>
        </w:rPr>
        <w:t>30</w:t>
      </w:r>
      <w:r w:rsidR="00AD2F46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perccel kezd kialakulni.</w:t>
      </w:r>
    </w:p>
    <w:p w14:paraId="45B0F40C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308F3CC1" w14:textId="77777777" w:rsidR="00FE2213" w:rsidRPr="007A0379" w:rsidRDefault="00FE2213" w:rsidP="009F06F4">
      <w:pPr>
        <w:keepNext/>
        <w:numPr>
          <w:ilvl w:val="1"/>
          <w:numId w:val="2"/>
        </w:numPr>
        <w:tabs>
          <w:tab w:val="left" w:pos="567"/>
        </w:tabs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Farmakokinetikai tulajdonságok</w:t>
      </w:r>
    </w:p>
    <w:p w14:paraId="021A7662" w14:textId="77777777" w:rsidR="00FE2213" w:rsidRPr="007A0379" w:rsidRDefault="00FE2213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4C3C3EE7" w14:textId="77777777" w:rsidR="00B95754" w:rsidRDefault="00B35089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migrénes rohamok úgy tűnik, nem befolyásolják lényegesen a</w:t>
      </w:r>
      <w:r w:rsidR="00DB69AC">
        <w:rPr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szumatriptán farmakokinetikáját.</w:t>
      </w:r>
    </w:p>
    <w:p w14:paraId="3E4611B1" w14:textId="77777777" w:rsidR="00B35089" w:rsidRDefault="00B35089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212181C1" w14:textId="77777777" w:rsidR="00B95754" w:rsidRPr="00B95754" w:rsidRDefault="00B95754" w:rsidP="009F06F4">
      <w:pPr>
        <w:keepNext/>
        <w:tabs>
          <w:tab w:val="left" w:pos="567"/>
        </w:tabs>
        <w:rPr>
          <w:i/>
          <w:color w:val="auto"/>
          <w:sz w:val="22"/>
          <w:szCs w:val="22"/>
        </w:rPr>
      </w:pPr>
      <w:r w:rsidRPr="00B95754">
        <w:rPr>
          <w:i/>
          <w:color w:val="auto"/>
          <w:sz w:val="22"/>
          <w:szCs w:val="22"/>
        </w:rPr>
        <w:lastRenderedPageBreak/>
        <w:t>Felszívódás</w:t>
      </w:r>
    </w:p>
    <w:p w14:paraId="1D7B8369" w14:textId="77777777" w:rsidR="00B95754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subcutan injekciót követően a szumatriptán biohasznosításának középértéke magas (96%), a maximális plazmakoncentrációt 25</w:t>
      </w:r>
      <w:r w:rsidR="00347B89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perc múlva éri el. A plazmakoncentráció átlagértéke 72</w:t>
      </w:r>
      <w:r w:rsidR="00347B89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 xml:space="preserve">ng/ml. </w:t>
      </w:r>
    </w:p>
    <w:p w14:paraId="266D12C3" w14:textId="77777777" w:rsidR="00B95754" w:rsidRDefault="00B95754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41757E7C" w14:textId="77777777" w:rsidR="00B35089" w:rsidRDefault="00347B89" w:rsidP="00771073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Az orális</w:t>
      </w:r>
      <w:r w:rsidR="00B35089" w:rsidRPr="007A0379">
        <w:rPr>
          <w:color w:val="auto"/>
          <w:sz w:val="22"/>
          <w:szCs w:val="22"/>
        </w:rPr>
        <w:t xml:space="preserve"> alkalmazást követően a szumatriptán gyorsan felszívódik, a maximális koncentráció 70%-át 45</w:t>
      </w:r>
      <w:r w:rsidR="00365402">
        <w:rPr>
          <w:color w:val="auto"/>
          <w:sz w:val="22"/>
          <w:szCs w:val="22"/>
        </w:rPr>
        <w:t> </w:t>
      </w:r>
      <w:r w:rsidR="00B35089" w:rsidRPr="007A0379">
        <w:rPr>
          <w:color w:val="auto"/>
          <w:sz w:val="22"/>
          <w:szCs w:val="22"/>
        </w:rPr>
        <w:t>perc múlva éri el. 100</w:t>
      </w:r>
      <w:r w:rsidR="00365402">
        <w:rPr>
          <w:color w:val="auto"/>
          <w:sz w:val="22"/>
          <w:szCs w:val="22"/>
        </w:rPr>
        <w:t> </w:t>
      </w:r>
      <w:r w:rsidR="00B35089" w:rsidRPr="007A0379">
        <w:rPr>
          <w:color w:val="auto"/>
          <w:sz w:val="22"/>
          <w:szCs w:val="22"/>
        </w:rPr>
        <w:t>mg bevétele után a maximális plazmakoncentráció 54</w:t>
      </w:r>
      <w:r w:rsidR="00365402">
        <w:rPr>
          <w:color w:val="auto"/>
          <w:sz w:val="22"/>
          <w:szCs w:val="22"/>
        </w:rPr>
        <w:t> </w:t>
      </w:r>
      <w:r w:rsidR="00B35089" w:rsidRPr="007A0379">
        <w:rPr>
          <w:color w:val="auto"/>
          <w:sz w:val="22"/>
          <w:szCs w:val="22"/>
        </w:rPr>
        <w:t>ng/ml. Az abszolút orális biohasznosítás középértéke 14%, részben a presystemás metabolizmusnak, részben a részleges felszívódásnak köszönhetően.</w:t>
      </w:r>
    </w:p>
    <w:p w14:paraId="53822500" w14:textId="77777777" w:rsidR="00B35089" w:rsidRDefault="00B35089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42D2558E" w14:textId="77777777" w:rsidR="00B95754" w:rsidRPr="00B95754" w:rsidRDefault="00B95754" w:rsidP="009F06F4">
      <w:pPr>
        <w:keepNext/>
        <w:tabs>
          <w:tab w:val="left" w:pos="567"/>
        </w:tabs>
        <w:rPr>
          <w:i/>
          <w:color w:val="auto"/>
          <w:sz w:val="22"/>
          <w:szCs w:val="22"/>
        </w:rPr>
      </w:pPr>
      <w:r w:rsidRPr="00B95754">
        <w:rPr>
          <w:i/>
          <w:color w:val="auto"/>
          <w:sz w:val="22"/>
          <w:szCs w:val="22"/>
        </w:rPr>
        <w:t>Eloszlás</w:t>
      </w:r>
    </w:p>
    <w:p w14:paraId="1A28F949" w14:textId="77777777" w:rsidR="00B95754" w:rsidRDefault="00B35089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Kötődése a plazmafehérjékhez alacsony (14-21%), az átlagos eloszlási térfogat 170</w:t>
      </w:r>
      <w:r w:rsidR="00365402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liter.</w:t>
      </w:r>
    </w:p>
    <w:p w14:paraId="30F0310C" w14:textId="77777777" w:rsidR="00B35089" w:rsidRDefault="00B35089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099676CC" w14:textId="77777777" w:rsidR="00B35089" w:rsidRPr="00B35089" w:rsidRDefault="00B35089" w:rsidP="00B35089">
      <w:pPr>
        <w:keepNext/>
        <w:tabs>
          <w:tab w:val="left" w:pos="567"/>
        </w:tabs>
        <w:rPr>
          <w:i/>
          <w:color w:val="auto"/>
          <w:sz w:val="22"/>
          <w:szCs w:val="22"/>
        </w:rPr>
      </w:pPr>
      <w:r w:rsidRPr="00B35089">
        <w:rPr>
          <w:i/>
          <w:color w:val="auto"/>
          <w:sz w:val="22"/>
          <w:szCs w:val="22"/>
        </w:rPr>
        <w:t>Biotranszformáció</w:t>
      </w:r>
    </w:p>
    <w:p w14:paraId="6C5836FD" w14:textId="77777777" w:rsidR="00B35089" w:rsidRDefault="00B35089" w:rsidP="00B35089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 fő m</w:t>
      </w:r>
      <w:r w:rsidR="00DF6D13">
        <w:rPr>
          <w:color w:val="auto"/>
          <w:sz w:val="22"/>
          <w:szCs w:val="22"/>
        </w:rPr>
        <w:t>e</w:t>
      </w:r>
      <w:r w:rsidRPr="007A0379">
        <w:rPr>
          <w:color w:val="auto"/>
          <w:sz w:val="22"/>
          <w:szCs w:val="22"/>
        </w:rPr>
        <w:t>tabolit, a szumatriptán indolecetsav analógja, főleg a vizelettel ürül, ahol szabad sav és glukuronid konjugátum formájában jelenik meg. 5HT</w:t>
      </w:r>
      <w:r w:rsidRPr="00DB69AC">
        <w:rPr>
          <w:color w:val="auto"/>
          <w:sz w:val="22"/>
          <w:szCs w:val="22"/>
          <w:vertAlign w:val="subscript"/>
        </w:rPr>
        <w:t>1</w:t>
      </w:r>
      <w:r w:rsidRPr="007A0379">
        <w:rPr>
          <w:color w:val="auto"/>
          <w:sz w:val="22"/>
          <w:szCs w:val="22"/>
        </w:rPr>
        <w:t xml:space="preserve"> vagy 5HT</w:t>
      </w:r>
      <w:r w:rsidRPr="00DB69AC">
        <w:rPr>
          <w:color w:val="auto"/>
          <w:sz w:val="22"/>
          <w:szCs w:val="22"/>
          <w:vertAlign w:val="subscript"/>
        </w:rPr>
        <w:t>2</w:t>
      </w:r>
      <w:r w:rsidRPr="007A0379">
        <w:rPr>
          <w:color w:val="auto"/>
          <w:sz w:val="22"/>
          <w:szCs w:val="22"/>
        </w:rPr>
        <w:t xml:space="preserve"> aktivitása nem ismert. Kisebb metabolitokat nem azonosítottak.</w:t>
      </w:r>
    </w:p>
    <w:p w14:paraId="0F4281AC" w14:textId="77777777" w:rsidR="00B35089" w:rsidRDefault="00B35089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05755D68" w14:textId="77777777" w:rsidR="00B35089" w:rsidRPr="00B35089" w:rsidRDefault="00B35089" w:rsidP="009F06F4">
      <w:pPr>
        <w:keepNext/>
        <w:tabs>
          <w:tab w:val="left" w:pos="567"/>
        </w:tabs>
        <w:rPr>
          <w:i/>
          <w:color w:val="auto"/>
          <w:sz w:val="22"/>
          <w:szCs w:val="22"/>
        </w:rPr>
      </w:pPr>
      <w:r w:rsidRPr="00B35089">
        <w:rPr>
          <w:i/>
          <w:color w:val="auto"/>
          <w:sz w:val="22"/>
          <w:szCs w:val="22"/>
        </w:rPr>
        <w:t>Elimináció</w:t>
      </w:r>
    </w:p>
    <w:p w14:paraId="028D21EC" w14:textId="77777777" w:rsidR="00FE2213" w:rsidRPr="007A0379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Az eliminációs felezési idő kb. 2</w:t>
      </w:r>
      <w:r w:rsidR="007A5E41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óra. A teljes plazma clearance középértéke kb. 1160</w:t>
      </w:r>
      <w:r w:rsidR="007A5E41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ml/perc, és a renális plazma clearance középértéke kb. 260</w:t>
      </w:r>
      <w:r w:rsidR="007A5E41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ml/perc. A nem renális clearance a teljes clearance-nek mintegy 80%-a. A szumatriptán elsősorban a monoamino</w:t>
      </w:r>
      <w:r w:rsidR="008740A5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>oxidáz</w:t>
      </w:r>
      <w:r w:rsidR="00CA61C2">
        <w:rPr>
          <w:color w:val="auto"/>
          <w:sz w:val="22"/>
          <w:szCs w:val="22"/>
        </w:rPr>
        <w:t>-</w:t>
      </w:r>
      <w:r w:rsidRPr="007A0379">
        <w:rPr>
          <w:color w:val="auto"/>
          <w:sz w:val="22"/>
          <w:szCs w:val="22"/>
        </w:rPr>
        <w:t xml:space="preserve">A közvetítette oxidatív metabolizmussal választódik ki. </w:t>
      </w:r>
    </w:p>
    <w:p w14:paraId="7B5B049E" w14:textId="77777777" w:rsidR="00CE10EF" w:rsidRDefault="00CE10EF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6DCD0FD8" w14:textId="37EC700E" w:rsidR="00B35089" w:rsidRPr="003B5854" w:rsidRDefault="0072362E" w:rsidP="009F06F4">
      <w:pPr>
        <w:keepNext/>
        <w:tabs>
          <w:tab w:val="left" w:pos="567"/>
        </w:tabs>
        <w:rPr>
          <w:i/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>Különleges</w:t>
      </w:r>
      <w:r w:rsidRPr="003B5854">
        <w:rPr>
          <w:i/>
          <w:color w:val="auto"/>
          <w:sz w:val="22"/>
          <w:szCs w:val="22"/>
        </w:rPr>
        <w:t xml:space="preserve"> </w:t>
      </w:r>
      <w:r w:rsidR="00B35089" w:rsidRPr="003B5854">
        <w:rPr>
          <w:i/>
          <w:color w:val="auto"/>
          <w:sz w:val="22"/>
          <w:szCs w:val="22"/>
        </w:rPr>
        <w:t>betegcsoportok</w:t>
      </w:r>
    </w:p>
    <w:p w14:paraId="6EE5B858" w14:textId="0CD35478" w:rsidR="0021305D" w:rsidRPr="005A542E" w:rsidRDefault="0021305D" w:rsidP="0021305D">
      <w:pPr>
        <w:pStyle w:val="BridgeheadGDS"/>
        <w:rPr>
          <w:b w:val="0"/>
          <w:sz w:val="22"/>
          <w:szCs w:val="22"/>
          <w:lang w:val="hu-HU"/>
        </w:rPr>
      </w:pPr>
      <w:r w:rsidRPr="005A542E">
        <w:rPr>
          <w:b w:val="0"/>
          <w:sz w:val="22"/>
          <w:szCs w:val="22"/>
          <w:lang w:val="hu-HU"/>
        </w:rPr>
        <w:t>Májkárosodás</w:t>
      </w:r>
      <w:r w:rsidR="009A1271">
        <w:rPr>
          <w:b w:val="0"/>
          <w:sz w:val="22"/>
          <w:szCs w:val="22"/>
          <w:lang w:val="hu-HU"/>
        </w:rPr>
        <w:fldChar w:fldCharType="begin"/>
      </w:r>
      <w:r w:rsidR="009A1271">
        <w:rPr>
          <w:b w:val="0"/>
          <w:sz w:val="22"/>
          <w:szCs w:val="22"/>
          <w:lang w:val="hu-HU"/>
        </w:rPr>
        <w:instrText xml:space="preserve"> DOCVARIABLE vault_nd_4be24ca1-44a5-4c25-8c01-b14f4f358cc9 \* MERGEFORMAT </w:instrText>
      </w:r>
      <w:r w:rsidR="009A1271">
        <w:rPr>
          <w:b w:val="0"/>
          <w:sz w:val="22"/>
          <w:szCs w:val="22"/>
          <w:lang w:val="hu-HU"/>
        </w:rPr>
        <w:fldChar w:fldCharType="separate"/>
      </w:r>
      <w:r w:rsidR="009A1271">
        <w:rPr>
          <w:b w:val="0"/>
          <w:sz w:val="22"/>
          <w:szCs w:val="22"/>
          <w:lang w:val="hu-HU"/>
        </w:rPr>
        <w:t xml:space="preserve"> </w:t>
      </w:r>
      <w:r w:rsidR="009A1271">
        <w:rPr>
          <w:b w:val="0"/>
          <w:sz w:val="22"/>
          <w:szCs w:val="22"/>
          <w:lang w:val="hu-HU"/>
        </w:rPr>
        <w:fldChar w:fldCharType="end"/>
      </w:r>
    </w:p>
    <w:p w14:paraId="7DDDF0F1" w14:textId="7BEB6262" w:rsidR="0021305D" w:rsidRPr="005A542E" w:rsidRDefault="0021305D" w:rsidP="0021305D">
      <w:pPr>
        <w:pStyle w:val="BridgeheadGDS"/>
        <w:rPr>
          <w:b w:val="0"/>
          <w:sz w:val="22"/>
          <w:szCs w:val="22"/>
          <w:lang w:val="hu-HU"/>
        </w:rPr>
      </w:pPr>
      <w:r w:rsidRPr="005A542E">
        <w:rPr>
          <w:b w:val="0"/>
          <w:sz w:val="22"/>
          <w:szCs w:val="22"/>
          <w:lang w:val="hu-HU"/>
        </w:rPr>
        <w:t>A közepesen súlyos májbetegség (Child</w:t>
      </w:r>
      <w:r w:rsidR="002863E9" w:rsidRPr="005A542E">
        <w:rPr>
          <w:b w:val="0"/>
          <w:sz w:val="22"/>
          <w:szCs w:val="22"/>
          <w:lang w:val="hu-HU"/>
        </w:rPr>
        <w:t>–</w:t>
      </w:r>
      <w:r w:rsidRPr="005A542E">
        <w:rPr>
          <w:b w:val="0"/>
          <w:sz w:val="22"/>
          <w:szCs w:val="22"/>
          <w:lang w:val="hu-HU"/>
        </w:rPr>
        <w:t>Pugh B stádium) subcutan beadott szumatriptán farmakokinetikájára gyakorolt hatását vizsgál</w:t>
      </w:r>
      <w:r w:rsidR="00C62532" w:rsidRPr="005A542E">
        <w:rPr>
          <w:b w:val="0"/>
          <w:sz w:val="22"/>
          <w:szCs w:val="22"/>
          <w:lang w:val="hu-HU"/>
        </w:rPr>
        <w:t>tá</w:t>
      </w:r>
      <w:r w:rsidRPr="005A542E">
        <w:rPr>
          <w:b w:val="0"/>
          <w:sz w:val="22"/>
          <w:szCs w:val="22"/>
          <w:lang w:val="hu-HU"/>
        </w:rPr>
        <w:t>k. Közepesen súlyos májkárosodásban szenvedőknél az egészséges kontrollokhoz képest nem mutatkoztak jelentős különbségek a subcutan beadott szumatriptán farmakokinetikájában (</w:t>
      </w:r>
      <w:r w:rsidRPr="005A542E">
        <w:rPr>
          <w:b w:val="0"/>
          <w:i/>
          <w:sz w:val="22"/>
          <w:szCs w:val="22"/>
          <w:lang w:val="hu-HU"/>
        </w:rPr>
        <w:t>lásd 4.4 pont – Különleges figyelmeztetések és az alkalmazással kapcsolatos óvintézkedések</w:t>
      </w:r>
      <w:r w:rsidRPr="005A542E">
        <w:rPr>
          <w:b w:val="0"/>
          <w:sz w:val="22"/>
          <w:szCs w:val="22"/>
          <w:lang w:val="hu-HU"/>
        </w:rPr>
        <w:t>).</w:t>
      </w:r>
      <w:r w:rsidR="009A1271">
        <w:rPr>
          <w:b w:val="0"/>
          <w:sz w:val="22"/>
          <w:szCs w:val="22"/>
          <w:lang w:val="hu-HU"/>
        </w:rPr>
        <w:fldChar w:fldCharType="begin"/>
      </w:r>
      <w:r w:rsidR="009A1271">
        <w:rPr>
          <w:b w:val="0"/>
          <w:sz w:val="22"/>
          <w:szCs w:val="22"/>
          <w:lang w:val="hu-HU"/>
        </w:rPr>
        <w:instrText xml:space="preserve"> DOCVARIABLE vault_nd_fed50e5f-e4cd-49b6-807b-798d44fdce43 \* MERGEFORMAT </w:instrText>
      </w:r>
      <w:r w:rsidR="009A1271">
        <w:rPr>
          <w:b w:val="0"/>
          <w:sz w:val="22"/>
          <w:szCs w:val="22"/>
          <w:lang w:val="hu-HU"/>
        </w:rPr>
        <w:fldChar w:fldCharType="separate"/>
      </w:r>
      <w:r w:rsidR="009A1271">
        <w:rPr>
          <w:b w:val="0"/>
          <w:sz w:val="22"/>
          <w:szCs w:val="22"/>
          <w:lang w:val="hu-HU"/>
        </w:rPr>
        <w:t xml:space="preserve"> </w:t>
      </w:r>
      <w:r w:rsidR="009A1271">
        <w:rPr>
          <w:b w:val="0"/>
          <w:sz w:val="22"/>
          <w:szCs w:val="22"/>
          <w:lang w:val="hu-HU"/>
        </w:rPr>
        <w:fldChar w:fldCharType="end"/>
      </w:r>
    </w:p>
    <w:p w14:paraId="467139D2" w14:textId="77777777" w:rsidR="00B35089" w:rsidRPr="00B35089" w:rsidRDefault="00B35089" w:rsidP="00771073">
      <w:pPr>
        <w:tabs>
          <w:tab w:val="left" w:pos="567"/>
        </w:tabs>
        <w:rPr>
          <w:i/>
          <w:color w:val="auto"/>
          <w:sz w:val="22"/>
          <w:szCs w:val="22"/>
        </w:rPr>
      </w:pPr>
    </w:p>
    <w:p w14:paraId="00C41944" w14:textId="77777777" w:rsidR="00FE2213" w:rsidRPr="007A0379" w:rsidRDefault="00FE2213" w:rsidP="009F06F4">
      <w:pPr>
        <w:keepNext/>
        <w:numPr>
          <w:ilvl w:val="1"/>
          <w:numId w:val="2"/>
        </w:numPr>
        <w:tabs>
          <w:tab w:val="left" w:pos="567"/>
        </w:tabs>
        <w:rPr>
          <w:b/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A preklinikai biztonság</w:t>
      </w:r>
      <w:r w:rsidR="00E464FA" w:rsidRPr="007A0379">
        <w:rPr>
          <w:b/>
          <w:color w:val="auto"/>
          <w:sz w:val="22"/>
          <w:szCs w:val="22"/>
        </w:rPr>
        <w:t>osság</w:t>
      </w:r>
      <w:r w:rsidRPr="007A0379">
        <w:rPr>
          <w:b/>
          <w:color w:val="auto"/>
          <w:sz w:val="22"/>
          <w:szCs w:val="22"/>
        </w:rPr>
        <w:t>i vizsgálatok eredményei</w:t>
      </w:r>
    </w:p>
    <w:p w14:paraId="7E09EF5C" w14:textId="77777777" w:rsidR="00FE2213" w:rsidRPr="007A0379" w:rsidRDefault="00FE2213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5E309C53" w14:textId="77777777" w:rsidR="002B161E" w:rsidRDefault="002B161E" w:rsidP="00771073">
      <w:pPr>
        <w:tabs>
          <w:tab w:val="left" w:pos="567"/>
        </w:tabs>
        <w:rPr>
          <w:i/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>Karcinogenezis, mutagenezis</w:t>
      </w:r>
    </w:p>
    <w:p w14:paraId="09EA03EF" w14:textId="77777777" w:rsidR="002B161E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i/>
          <w:color w:val="auto"/>
          <w:sz w:val="22"/>
          <w:szCs w:val="22"/>
        </w:rPr>
        <w:t xml:space="preserve">In vitro </w:t>
      </w:r>
      <w:r w:rsidRPr="007A0379">
        <w:rPr>
          <w:color w:val="auto"/>
          <w:sz w:val="22"/>
          <w:szCs w:val="22"/>
        </w:rPr>
        <w:t xml:space="preserve">rendszerekben és állatokon végzett vizsgálatokban a szumatriptán nem mutatott genotoxikus és </w:t>
      </w:r>
      <w:r w:rsidR="00CA61C2">
        <w:rPr>
          <w:color w:val="auto"/>
          <w:sz w:val="22"/>
          <w:szCs w:val="22"/>
        </w:rPr>
        <w:t>k</w:t>
      </w:r>
      <w:r w:rsidRPr="007A0379">
        <w:rPr>
          <w:color w:val="auto"/>
          <w:sz w:val="22"/>
          <w:szCs w:val="22"/>
        </w:rPr>
        <w:t>arcinog</w:t>
      </w:r>
      <w:r w:rsidR="00CA61C2">
        <w:rPr>
          <w:color w:val="auto"/>
          <w:sz w:val="22"/>
          <w:szCs w:val="22"/>
        </w:rPr>
        <w:t>é</w:t>
      </w:r>
      <w:r w:rsidRPr="007A0379">
        <w:rPr>
          <w:color w:val="auto"/>
          <w:sz w:val="22"/>
          <w:szCs w:val="22"/>
        </w:rPr>
        <w:t xml:space="preserve">n aktivitást.  </w:t>
      </w:r>
    </w:p>
    <w:p w14:paraId="71A58AE3" w14:textId="77777777" w:rsidR="002B161E" w:rsidRDefault="002B161E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76CE26F7" w14:textId="77777777" w:rsidR="002B161E" w:rsidRPr="002B161E" w:rsidRDefault="002B161E" w:rsidP="009F06F4">
      <w:pPr>
        <w:keepNext/>
        <w:tabs>
          <w:tab w:val="left" w:pos="567"/>
        </w:tabs>
        <w:rPr>
          <w:i/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>Reproduktív toxicitás</w:t>
      </w:r>
    </w:p>
    <w:p w14:paraId="5DB9BF59" w14:textId="77777777" w:rsidR="00FE2213" w:rsidRPr="007A0379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Egy patkányokon végzett fertilitási vizsgálatban, az emberben 6</w:t>
      </w:r>
      <w:r w:rsidR="007A5E41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mg szumatriptán sc. adása után mért plazmaszintnek kb.150-szeresét biztosító or</w:t>
      </w:r>
      <w:r w:rsidR="00CA61C2">
        <w:rPr>
          <w:color w:val="auto"/>
          <w:sz w:val="22"/>
          <w:szCs w:val="22"/>
        </w:rPr>
        <w:t>á</w:t>
      </w:r>
      <w:r w:rsidRPr="007A0379">
        <w:rPr>
          <w:color w:val="auto"/>
          <w:sz w:val="22"/>
          <w:szCs w:val="22"/>
        </w:rPr>
        <w:t>lis szumatriptán adagokat adva, csökkent az ins</w:t>
      </w:r>
      <w:r w:rsidR="008734CB">
        <w:rPr>
          <w:color w:val="auto"/>
          <w:sz w:val="22"/>
          <w:szCs w:val="22"/>
        </w:rPr>
        <w:t>z</w:t>
      </w:r>
      <w:r w:rsidRPr="007A0379">
        <w:rPr>
          <w:color w:val="auto"/>
          <w:sz w:val="22"/>
          <w:szCs w:val="22"/>
        </w:rPr>
        <w:t>emin</w:t>
      </w:r>
      <w:r w:rsidR="008734CB">
        <w:rPr>
          <w:color w:val="auto"/>
          <w:sz w:val="22"/>
          <w:szCs w:val="22"/>
        </w:rPr>
        <w:t>áció</w:t>
      </w:r>
      <w:r w:rsidRPr="007A0379">
        <w:rPr>
          <w:color w:val="auto"/>
          <w:sz w:val="22"/>
          <w:szCs w:val="22"/>
        </w:rPr>
        <w:t xml:space="preserve"> eredményessége. Ez a hatás nem jelentkezett egy subcutan adagolással végzett vizsgálatban, </w:t>
      </w:r>
      <w:r w:rsidR="00C04EC9">
        <w:rPr>
          <w:color w:val="auto"/>
          <w:sz w:val="22"/>
          <w:szCs w:val="22"/>
        </w:rPr>
        <w:t>amelynek során</w:t>
      </w:r>
      <w:r w:rsidR="00C04EC9" w:rsidRPr="007A0379">
        <w:rPr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az emberben sc. adás után mért maximális plazmaszintek kb. 100</w:t>
      </w:r>
      <w:r w:rsidR="007A5E41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szorosát érték el.</w:t>
      </w:r>
    </w:p>
    <w:p w14:paraId="39EEAFA5" w14:textId="77777777" w:rsidR="00E464FA" w:rsidRPr="007A0379" w:rsidRDefault="00E464FA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14D51F84" w14:textId="77777777" w:rsidR="002B161E" w:rsidRPr="002B161E" w:rsidRDefault="002B161E" w:rsidP="009F06F4">
      <w:pPr>
        <w:keepNext/>
        <w:tabs>
          <w:tab w:val="left" w:pos="567"/>
        </w:tabs>
        <w:rPr>
          <w:i/>
          <w:color w:val="auto"/>
          <w:sz w:val="22"/>
          <w:szCs w:val="22"/>
        </w:rPr>
      </w:pPr>
      <w:r w:rsidRPr="002B161E">
        <w:rPr>
          <w:i/>
          <w:color w:val="auto"/>
          <w:sz w:val="22"/>
          <w:szCs w:val="22"/>
        </w:rPr>
        <w:t>Terhesség és szoptatás</w:t>
      </w:r>
    </w:p>
    <w:p w14:paraId="4F26C4DF" w14:textId="77777777" w:rsidR="00E464FA" w:rsidRPr="007A0379" w:rsidRDefault="00E464FA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Patkányokon és nyulakon nem figyeltek meg teratogén hatást, és a szumatriptánnak nem volt hatása a postnatalis fejlődésre patkányokban.</w:t>
      </w:r>
    </w:p>
    <w:p w14:paraId="1D5B8883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5B90D9D6" w14:textId="77777777" w:rsidR="00FE2213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5F01D52F" w14:textId="77777777" w:rsidR="007A0379" w:rsidRPr="002D464B" w:rsidRDefault="007A0379" w:rsidP="007A0379">
      <w:pPr>
        <w:tabs>
          <w:tab w:val="left" w:pos="567"/>
        </w:tabs>
        <w:rPr>
          <w:b/>
          <w:caps/>
          <w:color w:val="auto"/>
          <w:sz w:val="22"/>
          <w:szCs w:val="22"/>
        </w:rPr>
      </w:pPr>
      <w:r w:rsidRPr="00E7219D">
        <w:rPr>
          <w:b/>
          <w:caps/>
          <w:color w:val="auto"/>
          <w:sz w:val="22"/>
          <w:szCs w:val="22"/>
        </w:rPr>
        <w:t>6.</w:t>
      </w:r>
      <w:r w:rsidRPr="00E7219D">
        <w:rPr>
          <w:b/>
          <w:caps/>
          <w:color w:val="auto"/>
          <w:sz w:val="22"/>
          <w:szCs w:val="22"/>
        </w:rPr>
        <w:tab/>
        <w:t>Gyógyszerészeti JELLEMZŐK</w:t>
      </w:r>
    </w:p>
    <w:p w14:paraId="645C623C" w14:textId="77777777" w:rsidR="00E7219D" w:rsidRDefault="00E7219D" w:rsidP="00E7219D">
      <w:pPr>
        <w:tabs>
          <w:tab w:val="left" w:pos="567"/>
        </w:tabs>
        <w:rPr>
          <w:b/>
          <w:caps/>
          <w:color w:val="auto"/>
          <w:sz w:val="22"/>
          <w:szCs w:val="22"/>
        </w:rPr>
      </w:pPr>
    </w:p>
    <w:p w14:paraId="473182CB" w14:textId="77777777" w:rsidR="00E7219D" w:rsidRPr="002D464B" w:rsidRDefault="00E7219D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>
        <w:rPr>
          <w:b/>
          <w:caps/>
          <w:color w:val="auto"/>
          <w:sz w:val="22"/>
          <w:szCs w:val="22"/>
        </w:rPr>
        <w:t>6.1</w:t>
      </w:r>
      <w:r>
        <w:rPr>
          <w:b/>
          <w:caps/>
          <w:color w:val="auto"/>
          <w:sz w:val="22"/>
          <w:szCs w:val="22"/>
        </w:rPr>
        <w:tab/>
      </w:r>
      <w:r w:rsidRPr="002D464B">
        <w:rPr>
          <w:b/>
          <w:color w:val="auto"/>
          <w:sz w:val="22"/>
          <w:szCs w:val="22"/>
        </w:rPr>
        <w:t>Segédanyagok felsorolása</w:t>
      </w:r>
    </w:p>
    <w:p w14:paraId="51738E45" w14:textId="77777777" w:rsidR="007A0379" w:rsidRPr="002D464B" w:rsidRDefault="007A0379" w:rsidP="009F06F4">
      <w:pPr>
        <w:keepNext/>
        <w:tabs>
          <w:tab w:val="left" w:pos="567"/>
        </w:tabs>
        <w:rPr>
          <w:b/>
          <w:caps/>
          <w:color w:val="auto"/>
          <w:sz w:val="22"/>
          <w:szCs w:val="22"/>
        </w:rPr>
      </w:pPr>
    </w:p>
    <w:p w14:paraId="5925D5D1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Nátrium-klorid, injekcióhoz való víz</w:t>
      </w:r>
      <w:r w:rsidR="00E7219D">
        <w:rPr>
          <w:color w:val="auto"/>
          <w:sz w:val="22"/>
          <w:szCs w:val="22"/>
        </w:rPr>
        <w:t>, nitrogén</w:t>
      </w:r>
      <w:r w:rsidRPr="007A0379">
        <w:rPr>
          <w:color w:val="auto"/>
          <w:sz w:val="22"/>
          <w:szCs w:val="22"/>
        </w:rPr>
        <w:t>.</w:t>
      </w:r>
    </w:p>
    <w:p w14:paraId="1B888A38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602B5145" w14:textId="77777777" w:rsidR="00FE2213" w:rsidRPr="007A0379" w:rsidRDefault="007A0379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6.2</w:t>
      </w:r>
      <w:r>
        <w:rPr>
          <w:b/>
          <w:color w:val="auto"/>
          <w:sz w:val="22"/>
          <w:szCs w:val="22"/>
        </w:rPr>
        <w:tab/>
      </w:r>
      <w:r w:rsidR="00FE2213" w:rsidRPr="007A0379">
        <w:rPr>
          <w:b/>
          <w:color w:val="auto"/>
          <w:sz w:val="22"/>
          <w:szCs w:val="22"/>
        </w:rPr>
        <w:t>Inkompatibilitások</w:t>
      </w:r>
    </w:p>
    <w:p w14:paraId="78D9B67B" w14:textId="77777777" w:rsidR="00FE2213" w:rsidRPr="007A0379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</w:p>
    <w:p w14:paraId="533A7489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Nem </w:t>
      </w:r>
      <w:r w:rsidR="00365174" w:rsidRPr="007A0379">
        <w:rPr>
          <w:color w:val="auto"/>
          <w:sz w:val="22"/>
          <w:szCs w:val="22"/>
        </w:rPr>
        <w:t>értelmezhető</w:t>
      </w:r>
      <w:r w:rsidRPr="007A0379">
        <w:rPr>
          <w:color w:val="auto"/>
          <w:sz w:val="22"/>
          <w:szCs w:val="22"/>
        </w:rPr>
        <w:t>.</w:t>
      </w:r>
    </w:p>
    <w:p w14:paraId="04957C52" w14:textId="77777777" w:rsidR="00FE2213" w:rsidRDefault="00FE2213" w:rsidP="00771073">
      <w:pPr>
        <w:tabs>
          <w:tab w:val="left" w:pos="567"/>
        </w:tabs>
        <w:rPr>
          <w:b/>
          <w:color w:val="auto"/>
          <w:sz w:val="22"/>
          <w:szCs w:val="22"/>
        </w:rPr>
      </w:pPr>
    </w:p>
    <w:p w14:paraId="75CF1361" w14:textId="77777777" w:rsidR="00E7219D" w:rsidRPr="002D464B" w:rsidRDefault="00E7219D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6.3</w:t>
      </w:r>
      <w:r>
        <w:rPr>
          <w:b/>
          <w:color w:val="auto"/>
          <w:sz w:val="22"/>
          <w:szCs w:val="22"/>
        </w:rPr>
        <w:tab/>
      </w:r>
      <w:r w:rsidRPr="002D464B">
        <w:rPr>
          <w:b/>
          <w:color w:val="auto"/>
          <w:sz w:val="22"/>
          <w:szCs w:val="22"/>
        </w:rPr>
        <w:t>Felhasználhatósági időtartam</w:t>
      </w:r>
    </w:p>
    <w:p w14:paraId="242755EB" w14:textId="77777777" w:rsidR="00E7219D" w:rsidRPr="007A0379" w:rsidRDefault="00E7219D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1417DE95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2 év.</w:t>
      </w:r>
    </w:p>
    <w:p w14:paraId="72C2B52B" w14:textId="77777777" w:rsidR="00FE2213" w:rsidRPr="007A0379" w:rsidRDefault="00FE2213" w:rsidP="00771073">
      <w:pPr>
        <w:tabs>
          <w:tab w:val="left" w:pos="567"/>
        </w:tabs>
        <w:rPr>
          <w:b/>
          <w:color w:val="auto"/>
          <w:sz w:val="22"/>
          <w:szCs w:val="22"/>
        </w:rPr>
      </w:pPr>
    </w:p>
    <w:p w14:paraId="32AD37EB" w14:textId="77777777" w:rsidR="00FE2213" w:rsidRPr="007A0379" w:rsidRDefault="00E7219D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6.4</w:t>
      </w:r>
      <w:r>
        <w:rPr>
          <w:b/>
          <w:color w:val="auto"/>
          <w:sz w:val="22"/>
          <w:szCs w:val="22"/>
        </w:rPr>
        <w:tab/>
      </w:r>
      <w:r w:rsidR="00FE2213" w:rsidRPr="007A0379">
        <w:rPr>
          <w:b/>
          <w:color w:val="auto"/>
          <w:sz w:val="22"/>
          <w:szCs w:val="22"/>
        </w:rPr>
        <w:t>Különleges tárolási előírások</w:t>
      </w:r>
    </w:p>
    <w:p w14:paraId="3A47119B" w14:textId="77777777" w:rsidR="00FE2213" w:rsidRPr="007A0379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</w:p>
    <w:p w14:paraId="537B3BFA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Legfeljebb 30</w:t>
      </w:r>
      <w:r w:rsidR="00F23E04">
        <w:rPr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ºC</w:t>
      </w:r>
      <w:r w:rsidR="00E7219D">
        <w:rPr>
          <w:color w:val="auto"/>
          <w:sz w:val="22"/>
          <w:szCs w:val="22"/>
        </w:rPr>
        <w:t>–</w:t>
      </w:r>
      <w:r w:rsidRPr="007A0379">
        <w:rPr>
          <w:color w:val="auto"/>
          <w:sz w:val="22"/>
          <w:szCs w:val="22"/>
        </w:rPr>
        <w:t>on</w:t>
      </w:r>
      <w:r w:rsidR="00E7219D">
        <w:rPr>
          <w:color w:val="auto"/>
          <w:sz w:val="22"/>
          <w:szCs w:val="22"/>
        </w:rPr>
        <w:t xml:space="preserve"> </w:t>
      </w:r>
      <w:r w:rsidR="00E464FA" w:rsidRPr="007A0379">
        <w:rPr>
          <w:color w:val="auto"/>
          <w:sz w:val="22"/>
          <w:szCs w:val="22"/>
        </w:rPr>
        <w:t>tárolandó</w:t>
      </w:r>
      <w:r w:rsidRPr="007A0379">
        <w:rPr>
          <w:color w:val="auto"/>
          <w:sz w:val="22"/>
          <w:szCs w:val="22"/>
        </w:rPr>
        <w:t>.</w:t>
      </w:r>
    </w:p>
    <w:p w14:paraId="39B8C967" w14:textId="77777777" w:rsidR="00FE2213" w:rsidRPr="00E7219D" w:rsidRDefault="00E7219D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E7219D">
        <w:rPr>
          <w:color w:val="auto"/>
          <w:sz w:val="22"/>
          <w:szCs w:val="22"/>
        </w:rPr>
        <w:t>A fénytől való vedelem érdekében az eredeti csomagolásban tárolandó.</w:t>
      </w:r>
    </w:p>
    <w:p w14:paraId="01133742" w14:textId="77777777" w:rsidR="00E7219D" w:rsidRDefault="00E7219D" w:rsidP="00771073">
      <w:pPr>
        <w:tabs>
          <w:tab w:val="left" w:pos="567"/>
        </w:tabs>
        <w:rPr>
          <w:b/>
          <w:color w:val="auto"/>
          <w:sz w:val="22"/>
          <w:szCs w:val="22"/>
        </w:rPr>
      </w:pPr>
    </w:p>
    <w:p w14:paraId="593B935A" w14:textId="77777777" w:rsidR="00E7219D" w:rsidRPr="007A0379" w:rsidRDefault="00E7219D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6.5</w:t>
      </w:r>
      <w:r>
        <w:rPr>
          <w:b/>
          <w:color w:val="auto"/>
          <w:sz w:val="22"/>
          <w:szCs w:val="22"/>
        </w:rPr>
        <w:tab/>
        <w:t>Csomagolás típusa és kiszerelése</w:t>
      </w:r>
    </w:p>
    <w:p w14:paraId="5D90BC43" w14:textId="77777777" w:rsidR="00FE2213" w:rsidRPr="007A0379" w:rsidRDefault="00FE2213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1493301B" w14:textId="77777777" w:rsidR="00E7219D" w:rsidRDefault="00E7219D" w:rsidP="00E7219D">
      <w:pPr>
        <w:rPr>
          <w:sz w:val="22"/>
          <w:szCs w:val="22"/>
        </w:rPr>
      </w:pPr>
      <w:r>
        <w:rPr>
          <w:sz w:val="22"/>
          <w:szCs w:val="22"/>
        </w:rPr>
        <w:t>E</w:t>
      </w:r>
      <w:r w:rsidRPr="00E7219D">
        <w:rPr>
          <w:sz w:val="22"/>
          <w:szCs w:val="22"/>
        </w:rPr>
        <w:t>gyszer használatos injekciós patronba töltött 0,5</w:t>
      </w:r>
      <w:r w:rsidR="007A5E41">
        <w:rPr>
          <w:sz w:val="22"/>
          <w:szCs w:val="22"/>
        </w:rPr>
        <w:t> </w:t>
      </w:r>
      <w:r w:rsidRPr="00E7219D">
        <w:rPr>
          <w:sz w:val="22"/>
          <w:szCs w:val="22"/>
        </w:rPr>
        <w:t>ml töltettérfogatú steril folyadék.</w:t>
      </w:r>
      <w:r>
        <w:rPr>
          <w:sz w:val="22"/>
          <w:szCs w:val="22"/>
        </w:rPr>
        <w:t xml:space="preserve"> </w:t>
      </w:r>
    </w:p>
    <w:p w14:paraId="6DA94682" w14:textId="77777777" w:rsidR="00E7219D" w:rsidRPr="00E7219D" w:rsidRDefault="00E7219D" w:rsidP="00E7219D">
      <w:pPr>
        <w:rPr>
          <w:sz w:val="22"/>
          <w:szCs w:val="22"/>
        </w:rPr>
      </w:pPr>
      <w:r w:rsidRPr="00E7219D">
        <w:rPr>
          <w:sz w:val="22"/>
          <w:szCs w:val="22"/>
        </w:rPr>
        <w:t>2</w:t>
      </w:r>
      <w:r w:rsidR="007A5E41">
        <w:rPr>
          <w:sz w:val="22"/>
          <w:szCs w:val="22"/>
        </w:rPr>
        <w:t> </w:t>
      </w:r>
      <w:r w:rsidRPr="00E7219D">
        <w:rPr>
          <w:sz w:val="22"/>
          <w:szCs w:val="22"/>
        </w:rPr>
        <w:t>db előretöltött injekciós patron zárt műanyag tartályban + 1</w:t>
      </w:r>
      <w:r w:rsidR="007A5E41">
        <w:rPr>
          <w:sz w:val="22"/>
          <w:szCs w:val="22"/>
        </w:rPr>
        <w:t> </w:t>
      </w:r>
      <w:r w:rsidRPr="00E7219D">
        <w:rPr>
          <w:sz w:val="22"/>
          <w:szCs w:val="22"/>
        </w:rPr>
        <w:t xml:space="preserve">db GlaxoPen autoinjektor zárt műanyag tokban és </w:t>
      </w:r>
      <w:r w:rsidR="006230CD">
        <w:rPr>
          <w:sz w:val="22"/>
          <w:szCs w:val="22"/>
        </w:rPr>
        <w:t>doboz</w:t>
      </w:r>
      <w:r w:rsidRPr="00E7219D">
        <w:rPr>
          <w:sz w:val="22"/>
          <w:szCs w:val="22"/>
        </w:rPr>
        <w:t>ban.</w:t>
      </w:r>
    </w:p>
    <w:p w14:paraId="1202ED1A" w14:textId="77777777" w:rsidR="00FE2213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154ECC4C" w14:textId="77777777" w:rsidR="00E7219D" w:rsidRPr="00575A81" w:rsidRDefault="00E7219D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E7219D">
        <w:rPr>
          <w:b/>
          <w:color w:val="auto"/>
          <w:sz w:val="22"/>
          <w:szCs w:val="22"/>
        </w:rPr>
        <w:t>6.6</w:t>
      </w:r>
      <w:r w:rsidRPr="00E7219D">
        <w:rPr>
          <w:b/>
          <w:color w:val="auto"/>
          <w:sz w:val="22"/>
          <w:szCs w:val="22"/>
        </w:rPr>
        <w:tab/>
      </w:r>
      <w:r w:rsidR="00A22093" w:rsidRPr="00575A81">
        <w:rPr>
          <w:b/>
          <w:color w:val="auto"/>
          <w:sz w:val="22"/>
          <w:szCs w:val="22"/>
        </w:rPr>
        <w:t xml:space="preserve">A megsemmisítésre vonatkozó különleges óvintézkedések </w:t>
      </w:r>
      <w:r w:rsidR="00A22093" w:rsidRPr="00575A81">
        <w:rPr>
          <w:rFonts w:eastAsia="Times New Roman"/>
          <w:b/>
          <w:noProof/>
          <w:sz w:val="22"/>
          <w:szCs w:val="22"/>
          <w:lang w:eastAsia="en-US"/>
        </w:rPr>
        <w:t>és egyéb, a készítmény kezelésével kapcsolatos információk</w:t>
      </w:r>
    </w:p>
    <w:p w14:paraId="0B004EE3" w14:textId="77777777" w:rsidR="00E7219D" w:rsidRPr="00F61186" w:rsidRDefault="00E7219D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</w:p>
    <w:p w14:paraId="25DF14B0" w14:textId="77777777" w:rsidR="00A22093" w:rsidRPr="00F61186" w:rsidRDefault="00A22093" w:rsidP="00A22093">
      <w:pPr>
        <w:tabs>
          <w:tab w:val="left" w:pos="567"/>
        </w:tabs>
        <w:rPr>
          <w:rFonts w:eastAsia="Times New Roman"/>
          <w:noProof/>
          <w:sz w:val="22"/>
          <w:szCs w:val="22"/>
          <w:lang w:eastAsia="en-US"/>
        </w:rPr>
      </w:pPr>
      <w:r w:rsidRPr="00F61186">
        <w:rPr>
          <w:rFonts w:eastAsia="Times New Roman"/>
          <w:noProof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7A295C94" w14:textId="77777777" w:rsidR="00A22093" w:rsidRPr="00F61186" w:rsidRDefault="00A22093" w:rsidP="00A22093">
      <w:pPr>
        <w:tabs>
          <w:tab w:val="left" w:pos="567"/>
        </w:tabs>
        <w:rPr>
          <w:rFonts w:eastAsia="Times New Roman"/>
          <w:noProof/>
          <w:sz w:val="22"/>
          <w:szCs w:val="22"/>
          <w:lang w:eastAsia="en-US"/>
        </w:rPr>
      </w:pPr>
    </w:p>
    <w:p w14:paraId="1FD1A642" w14:textId="77777777" w:rsidR="00E464FA" w:rsidRPr="007A0379" w:rsidRDefault="00E464FA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A betegeket figyelmeztetni kell, hogy az Imigran injekció alkalmazása során gondosan kövessék a betegtájékoztatóban leírtakat, különös tekintettel a tű és fecskendő biztonságos </w:t>
      </w:r>
      <w:r w:rsidR="003B5854">
        <w:rPr>
          <w:color w:val="auto"/>
          <w:sz w:val="22"/>
          <w:szCs w:val="22"/>
        </w:rPr>
        <w:t xml:space="preserve">és higiénikus </w:t>
      </w:r>
      <w:r w:rsidRPr="007A0379">
        <w:rPr>
          <w:color w:val="auto"/>
          <w:sz w:val="22"/>
          <w:szCs w:val="22"/>
        </w:rPr>
        <w:t>megsemmisítésére.</w:t>
      </w:r>
    </w:p>
    <w:p w14:paraId="48E3FBA1" w14:textId="77777777" w:rsidR="00E464FA" w:rsidRPr="007A0379" w:rsidRDefault="00E464FA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6D393E88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b/>
          <w:color w:val="auto"/>
          <w:sz w:val="22"/>
          <w:szCs w:val="22"/>
        </w:rPr>
        <w:t>Megjegyzés</w:t>
      </w:r>
      <w:r w:rsidR="007A5E41">
        <w:rPr>
          <w:b/>
          <w:color w:val="auto"/>
          <w:sz w:val="22"/>
          <w:szCs w:val="22"/>
        </w:rPr>
        <w:t>:</w:t>
      </w:r>
      <w:r w:rsidRPr="007A0379">
        <w:rPr>
          <w:b/>
          <w:color w:val="auto"/>
          <w:sz w:val="22"/>
          <w:szCs w:val="22"/>
        </w:rPr>
        <w:t xml:space="preserve"> </w:t>
      </w:r>
      <w:r w:rsidRPr="007A0379">
        <w:rPr>
          <w:rFonts w:ascii="Wingdings" w:hAnsi="Wingdings"/>
          <w:color w:val="auto"/>
          <w:sz w:val="22"/>
          <w:szCs w:val="22"/>
        </w:rPr>
        <w:t></w:t>
      </w:r>
      <w:r w:rsidRPr="007A0379">
        <w:rPr>
          <w:b/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(egy keresztes)</w:t>
      </w:r>
    </w:p>
    <w:p w14:paraId="4820C897" w14:textId="77777777" w:rsidR="00E464FA" w:rsidRPr="007827F2" w:rsidRDefault="00E464FA" w:rsidP="00771073">
      <w:pPr>
        <w:keepNext/>
        <w:keepLines/>
        <w:tabs>
          <w:tab w:val="left" w:pos="567"/>
        </w:tabs>
        <w:autoSpaceDE w:val="0"/>
        <w:autoSpaceDN w:val="0"/>
        <w:adjustRightInd w:val="0"/>
        <w:rPr>
          <w:b/>
          <w:bCs/>
          <w:color w:val="auto"/>
          <w:sz w:val="22"/>
          <w:szCs w:val="22"/>
        </w:rPr>
      </w:pPr>
      <w:r w:rsidRPr="007827F2">
        <w:rPr>
          <w:b/>
          <w:color w:val="auto"/>
          <w:sz w:val="22"/>
          <w:szCs w:val="22"/>
        </w:rPr>
        <w:t xml:space="preserve">Osztályozás: </w:t>
      </w:r>
      <w:r w:rsidRPr="007827F2">
        <w:rPr>
          <w:b/>
          <w:bCs/>
          <w:color w:val="auto"/>
          <w:sz w:val="22"/>
          <w:szCs w:val="22"/>
        </w:rPr>
        <w:t>II./1 csoport</w:t>
      </w:r>
    </w:p>
    <w:p w14:paraId="2CBC12F6" w14:textId="77777777" w:rsidR="00C62532" w:rsidRDefault="00E464FA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827F2">
        <w:rPr>
          <w:color w:val="auto"/>
          <w:sz w:val="22"/>
          <w:szCs w:val="22"/>
        </w:rPr>
        <w:t xml:space="preserve">Korlátozott érvényű orvosi rendelvényhez kötött, szakorvosi kórházi diagnózist követő </w:t>
      </w:r>
    </w:p>
    <w:p w14:paraId="4630337F" w14:textId="77777777" w:rsidR="00FE2213" w:rsidRPr="007827F2" w:rsidRDefault="00E464FA" w:rsidP="00771073">
      <w:pPr>
        <w:tabs>
          <w:tab w:val="left" w:pos="567"/>
        </w:tabs>
        <w:rPr>
          <w:b/>
          <w:color w:val="auto"/>
          <w:sz w:val="22"/>
          <w:szCs w:val="22"/>
        </w:rPr>
      </w:pPr>
      <w:r w:rsidRPr="007827F2">
        <w:rPr>
          <w:color w:val="auto"/>
          <w:sz w:val="22"/>
          <w:szCs w:val="22"/>
        </w:rPr>
        <w:t>járóbetegellátásban alkalmazható gyógyszer (J).</w:t>
      </w:r>
    </w:p>
    <w:p w14:paraId="42345798" w14:textId="77777777" w:rsidR="00FE2213" w:rsidRDefault="00FE2213" w:rsidP="00771073">
      <w:pPr>
        <w:tabs>
          <w:tab w:val="left" w:pos="567"/>
        </w:tabs>
        <w:rPr>
          <w:b/>
          <w:color w:val="auto"/>
          <w:sz w:val="22"/>
          <w:szCs w:val="22"/>
        </w:rPr>
      </w:pPr>
    </w:p>
    <w:p w14:paraId="6D112E7E" w14:textId="77777777" w:rsidR="00A22093" w:rsidRPr="007A0379" w:rsidRDefault="00A22093" w:rsidP="00771073">
      <w:pPr>
        <w:tabs>
          <w:tab w:val="left" w:pos="567"/>
        </w:tabs>
        <w:rPr>
          <w:b/>
          <w:color w:val="auto"/>
          <w:sz w:val="22"/>
          <w:szCs w:val="22"/>
        </w:rPr>
      </w:pPr>
    </w:p>
    <w:p w14:paraId="47319487" w14:textId="77777777" w:rsidR="00FE2213" w:rsidRPr="007A0379" w:rsidRDefault="00FE2213" w:rsidP="009F06F4">
      <w:pPr>
        <w:keepNext/>
        <w:tabs>
          <w:tab w:val="left" w:pos="567"/>
        </w:tabs>
        <w:rPr>
          <w:b/>
          <w:caps/>
          <w:color w:val="auto"/>
          <w:sz w:val="22"/>
          <w:szCs w:val="22"/>
        </w:rPr>
      </w:pPr>
      <w:r w:rsidRPr="007A0379">
        <w:rPr>
          <w:b/>
          <w:caps/>
          <w:color w:val="auto"/>
          <w:sz w:val="22"/>
          <w:szCs w:val="22"/>
        </w:rPr>
        <w:t>7.</w:t>
      </w:r>
      <w:r w:rsidRPr="007A0379">
        <w:rPr>
          <w:b/>
          <w:caps/>
          <w:color w:val="auto"/>
          <w:sz w:val="22"/>
          <w:szCs w:val="22"/>
        </w:rPr>
        <w:tab/>
        <w:t>A forgalombahozatali engedély jogosultja</w:t>
      </w:r>
    </w:p>
    <w:p w14:paraId="541BE984" w14:textId="77777777" w:rsidR="00FE2213" w:rsidRPr="007A0379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</w:p>
    <w:p w14:paraId="4DDA4B10" w14:textId="77777777" w:rsidR="00FA1272" w:rsidRPr="00FD6357" w:rsidRDefault="00FA1272" w:rsidP="00FA1272">
      <w:pPr>
        <w:tabs>
          <w:tab w:val="left" w:pos="567"/>
        </w:tabs>
        <w:rPr>
          <w:color w:val="auto"/>
          <w:sz w:val="22"/>
          <w:szCs w:val="22"/>
          <w:lang w:val="en-US"/>
        </w:rPr>
      </w:pPr>
      <w:r w:rsidRPr="007A0379">
        <w:rPr>
          <w:color w:val="auto"/>
          <w:sz w:val="22"/>
          <w:szCs w:val="22"/>
        </w:rPr>
        <w:t xml:space="preserve">GlaxoSmithKline </w:t>
      </w:r>
      <w:r w:rsidRPr="00FD6357">
        <w:rPr>
          <w:color w:val="auto"/>
          <w:sz w:val="22"/>
          <w:szCs w:val="22"/>
          <w:lang w:val="en-US"/>
        </w:rPr>
        <w:t xml:space="preserve">Trading Services Limited </w:t>
      </w:r>
    </w:p>
    <w:p w14:paraId="4A7E840C" w14:textId="77777777" w:rsidR="00FA1272" w:rsidRPr="00FD6357" w:rsidRDefault="00FA1272" w:rsidP="00FA1272">
      <w:pPr>
        <w:tabs>
          <w:tab w:val="left" w:pos="567"/>
        </w:tabs>
        <w:rPr>
          <w:color w:val="auto"/>
          <w:sz w:val="22"/>
          <w:szCs w:val="22"/>
          <w:lang w:val="en-US"/>
        </w:rPr>
      </w:pPr>
      <w:r w:rsidRPr="00FD6357">
        <w:rPr>
          <w:color w:val="auto"/>
          <w:sz w:val="22"/>
          <w:szCs w:val="22"/>
          <w:lang w:val="en-US"/>
        </w:rPr>
        <w:t xml:space="preserve">12 </w:t>
      </w:r>
      <w:proofErr w:type="spellStart"/>
      <w:r w:rsidRPr="00FD6357">
        <w:rPr>
          <w:color w:val="auto"/>
          <w:sz w:val="22"/>
          <w:szCs w:val="22"/>
          <w:lang w:val="en-US"/>
        </w:rPr>
        <w:t>Riverwalk</w:t>
      </w:r>
      <w:proofErr w:type="spellEnd"/>
      <w:r w:rsidRPr="00FD6357">
        <w:rPr>
          <w:color w:val="auto"/>
          <w:sz w:val="22"/>
          <w:szCs w:val="22"/>
          <w:lang w:val="en-US"/>
        </w:rPr>
        <w:t xml:space="preserve">, </w:t>
      </w:r>
      <w:proofErr w:type="spellStart"/>
      <w:r w:rsidRPr="00FD6357">
        <w:rPr>
          <w:color w:val="auto"/>
          <w:sz w:val="22"/>
          <w:szCs w:val="22"/>
          <w:lang w:val="en-US"/>
        </w:rPr>
        <w:t>Citywest</w:t>
      </w:r>
      <w:proofErr w:type="spellEnd"/>
      <w:r w:rsidRPr="00FD6357">
        <w:rPr>
          <w:color w:val="auto"/>
          <w:sz w:val="22"/>
          <w:szCs w:val="22"/>
          <w:lang w:val="en-US"/>
        </w:rPr>
        <w:t xml:space="preserve"> Business Campus, Dublin 24,</w:t>
      </w:r>
      <w:r w:rsidR="005A542E" w:rsidRPr="005A542E">
        <w:rPr>
          <w:sz w:val="22"/>
          <w:szCs w:val="22"/>
          <w:lang w:eastAsia="en-US"/>
        </w:rPr>
        <w:t xml:space="preserve"> </w:t>
      </w:r>
      <w:r w:rsidR="005A542E" w:rsidRPr="004435C9">
        <w:rPr>
          <w:sz w:val="22"/>
          <w:szCs w:val="22"/>
          <w:lang w:val="en-IN" w:eastAsia="en-US"/>
        </w:rPr>
        <w:t>D24 YK11,</w:t>
      </w:r>
      <w:r w:rsidRPr="00FD6357">
        <w:rPr>
          <w:color w:val="auto"/>
          <w:sz w:val="22"/>
          <w:szCs w:val="22"/>
          <w:lang w:val="en-US"/>
        </w:rPr>
        <w:t xml:space="preserve"> </w:t>
      </w:r>
      <w:proofErr w:type="spellStart"/>
      <w:r w:rsidRPr="00FD6357">
        <w:rPr>
          <w:color w:val="auto"/>
          <w:sz w:val="22"/>
          <w:szCs w:val="22"/>
          <w:lang w:val="en-US"/>
        </w:rPr>
        <w:t>Írország</w:t>
      </w:r>
      <w:proofErr w:type="spellEnd"/>
      <w:r>
        <w:rPr>
          <w:color w:val="auto"/>
          <w:sz w:val="22"/>
          <w:szCs w:val="22"/>
          <w:lang w:val="en-US"/>
        </w:rPr>
        <w:t>.</w:t>
      </w:r>
    </w:p>
    <w:p w14:paraId="729C9507" w14:textId="77777777" w:rsidR="00FE2213" w:rsidRPr="007A0379" w:rsidRDefault="00FE2213" w:rsidP="00771073">
      <w:pPr>
        <w:tabs>
          <w:tab w:val="left" w:pos="567"/>
        </w:tabs>
        <w:rPr>
          <w:b/>
          <w:color w:val="auto"/>
          <w:sz w:val="22"/>
          <w:szCs w:val="22"/>
        </w:rPr>
      </w:pPr>
    </w:p>
    <w:p w14:paraId="7C0E111F" w14:textId="77777777" w:rsidR="00FE2213" w:rsidRPr="007A0379" w:rsidRDefault="00FE2213" w:rsidP="00771073">
      <w:pPr>
        <w:tabs>
          <w:tab w:val="left" w:pos="567"/>
        </w:tabs>
        <w:rPr>
          <w:b/>
          <w:color w:val="auto"/>
          <w:sz w:val="22"/>
          <w:szCs w:val="22"/>
        </w:rPr>
      </w:pPr>
    </w:p>
    <w:p w14:paraId="42B3BB89" w14:textId="77777777" w:rsidR="00FE2213" w:rsidRPr="007A0379" w:rsidRDefault="00FE2213" w:rsidP="009F06F4">
      <w:pPr>
        <w:keepNext/>
        <w:tabs>
          <w:tab w:val="left" w:pos="567"/>
        </w:tabs>
        <w:rPr>
          <w:b/>
          <w:caps/>
          <w:color w:val="auto"/>
          <w:sz w:val="22"/>
          <w:szCs w:val="22"/>
        </w:rPr>
      </w:pPr>
      <w:r w:rsidRPr="007A0379">
        <w:rPr>
          <w:b/>
          <w:caps/>
          <w:color w:val="auto"/>
          <w:sz w:val="22"/>
          <w:szCs w:val="22"/>
        </w:rPr>
        <w:t>8.</w:t>
      </w:r>
      <w:r w:rsidRPr="007A0379">
        <w:rPr>
          <w:b/>
          <w:caps/>
          <w:color w:val="auto"/>
          <w:sz w:val="22"/>
          <w:szCs w:val="22"/>
        </w:rPr>
        <w:tab/>
        <w:t>A forgalombahozatali engedély száma</w:t>
      </w:r>
    </w:p>
    <w:p w14:paraId="042E588E" w14:textId="77777777" w:rsidR="00FE2213" w:rsidRPr="007A0379" w:rsidRDefault="00FE2213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0107F4A4" w14:textId="77777777" w:rsidR="00FE2213" w:rsidRPr="007A0379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OGYI-T-</w:t>
      </w:r>
      <w:r w:rsidR="00BD34F1" w:rsidRPr="007A0379">
        <w:rPr>
          <w:color w:val="auto"/>
          <w:sz w:val="22"/>
          <w:szCs w:val="22"/>
        </w:rPr>
        <w:t>5410/05</w:t>
      </w:r>
    </w:p>
    <w:p w14:paraId="2940DBC5" w14:textId="77777777" w:rsidR="00FE2213" w:rsidRDefault="00FE2213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383BE424" w14:textId="77777777" w:rsidR="00F61186" w:rsidRPr="007A0379" w:rsidRDefault="00F61186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6CAC1AAB" w14:textId="77777777" w:rsidR="009D0DAB" w:rsidRPr="002D464B" w:rsidRDefault="009D0DAB" w:rsidP="009D0DAB">
      <w:pPr>
        <w:tabs>
          <w:tab w:val="left" w:pos="567"/>
        </w:tabs>
        <w:ind w:left="567" w:hanging="567"/>
        <w:rPr>
          <w:b/>
          <w:color w:val="auto"/>
          <w:sz w:val="22"/>
          <w:szCs w:val="22"/>
        </w:rPr>
      </w:pPr>
      <w:r w:rsidRPr="002D464B">
        <w:rPr>
          <w:b/>
          <w:color w:val="auto"/>
          <w:sz w:val="22"/>
          <w:szCs w:val="22"/>
        </w:rPr>
        <w:t>9.</w:t>
      </w:r>
      <w:r w:rsidRPr="002D464B">
        <w:rPr>
          <w:b/>
          <w:color w:val="auto"/>
          <w:sz w:val="22"/>
          <w:szCs w:val="22"/>
        </w:rPr>
        <w:tab/>
        <w:t>A FORGALOMBA HOZATALI ENGEDÉLY ELSŐ KIADÁSÁNAK/ MEGÚJÍTÁSÁNAK DÁTUMA</w:t>
      </w:r>
    </w:p>
    <w:p w14:paraId="218815B3" w14:textId="77777777" w:rsidR="00FE2213" w:rsidRDefault="00FE2213" w:rsidP="009F06F4">
      <w:pPr>
        <w:keepNext/>
        <w:tabs>
          <w:tab w:val="left" w:pos="567"/>
        </w:tabs>
        <w:rPr>
          <w:color w:val="auto"/>
          <w:sz w:val="22"/>
          <w:szCs w:val="22"/>
        </w:rPr>
      </w:pPr>
    </w:p>
    <w:p w14:paraId="7CB52600" w14:textId="77777777" w:rsidR="00631DC6" w:rsidRDefault="00631DC6" w:rsidP="00771073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forgalomba hozatali engedély első kiadásának dátuma: </w:t>
      </w:r>
      <w:r w:rsidR="006230CD">
        <w:rPr>
          <w:color w:val="auto"/>
          <w:sz w:val="22"/>
          <w:szCs w:val="22"/>
        </w:rPr>
        <w:t xml:space="preserve">1993. </w:t>
      </w:r>
      <w:r w:rsidR="001D0710">
        <w:rPr>
          <w:color w:val="auto"/>
          <w:sz w:val="22"/>
          <w:szCs w:val="22"/>
        </w:rPr>
        <w:t xml:space="preserve">április </w:t>
      </w:r>
      <w:r w:rsidR="006230CD">
        <w:rPr>
          <w:color w:val="auto"/>
          <w:sz w:val="22"/>
          <w:szCs w:val="22"/>
        </w:rPr>
        <w:t>1</w:t>
      </w:r>
      <w:r w:rsidR="003B0478">
        <w:rPr>
          <w:color w:val="auto"/>
          <w:sz w:val="22"/>
          <w:szCs w:val="22"/>
        </w:rPr>
        <w:t>.</w:t>
      </w:r>
    </w:p>
    <w:p w14:paraId="4C7FD41F" w14:textId="77777777" w:rsidR="009D0DAB" w:rsidRDefault="00631DC6" w:rsidP="00771073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forgalomba hozatali engedély legutóbbi felújításának dátuma: </w:t>
      </w:r>
      <w:r w:rsidR="006230CD">
        <w:rPr>
          <w:color w:val="auto"/>
          <w:sz w:val="22"/>
          <w:szCs w:val="22"/>
        </w:rPr>
        <w:t xml:space="preserve">2009. november </w:t>
      </w:r>
      <w:r w:rsidR="00860033">
        <w:rPr>
          <w:color w:val="auto"/>
          <w:sz w:val="22"/>
          <w:szCs w:val="22"/>
        </w:rPr>
        <w:t>17</w:t>
      </w:r>
      <w:r w:rsidR="006230CD">
        <w:rPr>
          <w:color w:val="auto"/>
          <w:sz w:val="22"/>
          <w:szCs w:val="22"/>
        </w:rPr>
        <w:t>.</w:t>
      </w:r>
    </w:p>
    <w:p w14:paraId="5EF9887E" w14:textId="77777777" w:rsidR="006230CD" w:rsidRDefault="006230CD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25F644CF" w14:textId="77777777" w:rsidR="009D0DAB" w:rsidRDefault="009D0DAB" w:rsidP="00771073">
      <w:pPr>
        <w:tabs>
          <w:tab w:val="left" w:pos="567"/>
        </w:tabs>
        <w:rPr>
          <w:color w:val="auto"/>
          <w:sz w:val="22"/>
          <w:szCs w:val="22"/>
        </w:rPr>
      </w:pPr>
    </w:p>
    <w:p w14:paraId="73BA766A" w14:textId="77777777" w:rsidR="009D0DAB" w:rsidRPr="002D464B" w:rsidRDefault="009D0DAB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  <w:r w:rsidRPr="002D464B">
        <w:rPr>
          <w:b/>
          <w:color w:val="auto"/>
          <w:sz w:val="22"/>
          <w:szCs w:val="22"/>
        </w:rPr>
        <w:t>10.</w:t>
      </w:r>
      <w:r w:rsidRPr="002D464B">
        <w:rPr>
          <w:b/>
          <w:color w:val="auto"/>
          <w:sz w:val="22"/>
          <w:szCs w:val="22"/>
        </w:rPr>
        <w:tab/>
        <w:t>A SZÖVEG ELLENŐRZÉSÉNEK DÁTUMA</w:t>
      </w:r>
    </w:p>
    <w:p w14:paraId="535DA9B5" w14:textId="77777777" w:rsidR="009D0DAB" w:rsidRPr="002D464B" w:rsidRDefault="009D0DAB" w:rsidP="009F06F4">
      <w:pPr>
        <w:keepNext/>
        <w:tabs>
          <w:tab w:val="left" w:pos="567"/>
        </w:tabs>
        <w:rPr>
          <w:b/>
          <w:color w:val="auto"/>
          <w:sz w:val="22"/>
          <w:szCs w:val="22"/>
        </w:rPr>
      </w:pPr>
    </w:p>
    <w:p w14:paraId="4B445F7E" w14:textId="04938A94" w:rsidR="009D0DAB" w:rsidRPr="007A0379" w:rsidRDefault="0072362E" w:rsidP="00771073">
      <w:pPr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2026. augusztus 11.</w:t>
      </w:r>
    </w:p>
    <w:sectPr w:rsidR="009D0DAB" w:rsidRPr="007A0379" w:rsidSect="00771073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94FC3" w14:textId="77777777" w:rsidR="009A28A9" w:rsidRDefault="009A28A9">
      <w:r>
        <w:separator/>
      </w:r>
    </w:p>
  </w:endnote>
  <w:endnote w:type="continuationSeparator" w:id="0">
    <w:p w14:paraId="2B1B3C27" w14:textId="77777777" w:rsidR="009A28A9" w:rsidRDefault="009A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tarSymbo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-Times New Roman">
    <w:altName w:val="Times New Roman"/>
    <w:charset w:val="00"/>
    <w:family w:val="roman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1E7A3" w14:textId="77777777" w:rsidR="00DB69AC" w:rsidRDefault="00DB69AC" w:rsidP="007B2B70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A603C9E" w14:textId="77777777" w:rsidR="00DB69AC" w:rsidRDefault="00DB69AC" w:rsidP="00771073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B5277" w14:textId="77777777" w:rsidR="00DB69AC" w:rsidRPr="00240B83" w:rsidRDefault="00DB69AC" w:rsidP="00771073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BB8A8" w14:textId="526D4EEF" w:rsidR="007B1136" w:rsidRPr="007E51C2" w:rsidRDefault="000D0F91">
    <w:pPr>
      <w:pStyle w:val="llb"/>
      <w:rPr>
        <w:sz w:val="18"/>
        <w:szCs w:val="18"/>
        <w:lang w:val="hu-HU"/>
      </w:rPr>
    </w:pPr>
    <w:r w:rsidRPr="000D0F91">
      <w:rPr>
        <w:sz w:val="18"/>
        <w:szCs w:val="18"/>
        <w:lang w:val="hu-HU"/>
      </w:rPr>
      <w:t>NNGYK/ETGY/17585/2026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AD6BB" w14:textId="77777777" w:rsidR="009A28A9" w:rsidRDefault="009A28A9">
      <w:r>
        <w:separator/>
      </w:r>
    </w:p>
  </w:footnote>
  <w:footnote w:type="continuationSeparator" w:id="0">
    <w:p w14:paraId="7C9922F0" w14:textId="77777777" w:rsidR="009A28A9" w:rsidRDefault="009A2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943423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C577CD3" w14:textId="6E964CB8" w:rsidR="000D0F91" w:rsidRPr="008E0D9F" w:rsidRDefault="000D0F91" w:rsidP="008E0D9F">
        <w:pPr>
          <w:pStyle w:val="lfej"/>
          <w:jc w:val="center"/>
          <w:rPr>
            <w:sz w:val="18"/>
            <w:szCs w:val="18"/>
          </w:rPr>
        </w:pPr>
        <w:r w:rsidRPr="008E0D9F">
          <w:rPr>
            <w:sz w:val="18"/>
            <w:szCs w:val="18"/>
          </w:rPr>
          <w:fldChar w:fldCharType="begin"/>
        </w:r>
        <w:r w:rsidRPr="008E0D9F">
          <w:rPr>
            <w:sz w:val="18"/>
            <w:szCs w:val="18"/>
          </w:rPr>
          <w:instrText>PAGE   \* MERGEFORMAT</w:instrText>
        </w:r>
        <w:r w:rsidRPr="008E0D9F">
          <w:rPr>
            <w:sz w:val="18"/>
            <w:szCs w:val="18"/>
          </w:rPr>
          <w:fldChar w:fldCharType="separate"/>
        </w:r>
        <w:r w:rsidR="008E0D9F">
          <w:rPr>
            <w:noProof/>
            <w:sz w:val="18"/>
            <w:szCs w:val="18"/>
          </w:rPr>
          <w:t>8</w:t>
        </w:r>
        <w:r w:rsidRPr="008E0D9F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36DC5" w14:textId="77777777" w:rsidR="00DB69AC" w:rsidRPr="00240B83" w:rsidRDefault="00DB69AC">
    <w:pPr>
      <w:tabs>
        <w:tab w:val="center" w:pos="1843"/>
        <w:tab w:val="left" w:pos="6663"/>
        <w:tab w:val="left" w:pos="7455"/>
      </w:tabs>
      <w:spacing w:line="100" w:lineRule="atLeast"/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2"/>
    <w:lvl w:ilvl="0">
      <w:start w:val="4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525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4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1.%2."/>
      <w:lvlJc w:val="left"/>
      <w:pPr>
        <w:tabs>
          <w:tab w:val="num" w:pos="343"/>
        </w:tabs>
        <w:ind w:left="343" w:hanging="283"/>
      </w:pPr>
    </w:lvl>
    <w:lvl w:ilvl="2">
      <w:start w:val="1"/>
      <w:numFmt w:val="decimal"/>
      <w:lvlText w:val="%1.%2.%3."/>
      <w:lvlJc w:val="left"/>
      <w:pPr>
        <w:tabs>
          <w:tab w:val="num" w:pos="403"/>
        </w:tabs>
        <w:ind w:left="403" w:hanging="283"/>
      </w:pPr>
    </w:lvl>
    <w:lvl w:ilvl="3">
      <w:start w:val="1"/>
      <w:numFmt w:val="decimal"/>
      <w:lvlText w:val="%1.%2.%3.%4."/>
      <w:lvlJc w:val="left"/>
      <w:pPr>
        <w:tabs>
          <w:tab w:val="num" w:pos="463"/>
        </w:tabs>
        <w:ind w:left="463" w:hanging="283"/>
      </w:pPr>
    </w:lvl>
    <w:lvl w:ilvl="4">
      <w:start w:val="1"/>
      <w:numFmt w:val="decimal"/>
      <w:lvlText w:val="%1.%2.%3.%4.%5."/>
      <w:lvlJc w:val="left"/>
      <w:pPr>
        <w:tabs>
          <w:tab w:val="num" w:pos="523"/>
        </w:tabs>
        <w:ind w:left="523" w:hanging="283"/>
      </w:pPr>
    </w:lvl>
    <w:lvl w:ilvl="5">
      <w:start w:val="1"/>
      <w:numFmt w:val="decimal"/>
      <w:lvlText w:val="%1.%2.%3.%4.%5.%6."/>
      <w:lvlJc w:val="left"/>
      <w:pPr>
        <w:tabs>
          <w:tab w:val="num" w:pos="583"/>
        </w:tabs>
        <w:ind w:left="583" w:hanging="283"/>
      </w:pPr>
    </w:lvl>
    <w:lvl w:ilvl="6">
      <w:start w:val="1"/>
      <w:numFmt w:val="decimal"/>
      <w:lvlText w:val="%1.%2.%3.%4.%5.%6.%7."/>
      <w:lvlJc w:val="left"/>
      <w:pPr>
        <w:tabs>
          <w:tab w:val="num" w:pos="643"/>
        </w:tabs>
        <w:ind w:left="643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703"/>
        </w:tabs>
        <w:ind w:left="703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763"/>
        </w:tabs>
        <w:ind w:left="763" w:hanging="283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6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single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7"/>
    <w:multiLevelType w:val="multilevel"/>
    <w:tmpl w:val="00000007"/>
    <w:name w:val="Outline"/>
    <w:lvl w:ilvl="0">
      <w:start w:val="1"/>
      <w:numFmt w:val="none"/>
      <w:pStyle w:val="Cmsor1"/>
      <w:lvlText w:val=""/>
      <w:lvlJc w:val="left"/>
      <w:pPr>
        <w:tabs>
          <w:tab w:val="num" w:pos="1080"/>
        </w:tabs>
        <w:ind w:left="108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1080"/>
        </w:tabs>
        <w:ind w:left="108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1080"/>
        </w:tabs>
        <w:ind w:left="108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1080"/>
        </w:tabs>
        <w:ind w:left="108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1080"/>
        </w:tabs>
        <w:ind w:left="1080" w:firstLine="0"/>
      </w:p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firstLine="0"/>
      </w:pPr>
    </w:lvl>
    <w:lvl w:ilvl="6">
      <w:start w:val="1"/>
      <w:numFmt w:val="none"/>
      <w:lvlText w:val=""/>
      <w:lvlJc w:val="left"/>
      <w:pPr>
        <w:tabs>
          <w:tab w:val="num" w:pos="1080"/>
        </w:tabs>
        <w:ind w:left="1080" w:firstLine="0"/>
      </w:pPr>
    </w:lvl>
    <w:lvl w:ilvl="7">
      <w:start w:val="1"/>
      <w:numFmt w:val="none"/>
      <w:lvlText w:val=""/>
      <w:lvlJc w:val="left"/>
      <w:pPr>
        <w:tabs>
          <w:tab w:val="num" w:pos="1080"/>
        </w:tabs>
        <w:ind w:left="1080" w:firstLine="0"/>
      </w:pPr>
    </w:lvl>
    <w:lvl w:ilvl="8">
      <w:start w:val="1"/>
      <w:numFmt w:val="none"/>
      <w:lvlText w:val=""/>
      <w:lvlJc w:val="left"/>
      <w:pPr>
        <w:tabs>
          <w:tab w:val="num" w:pos="1080"/>
        </w:tabs>
        <w:ind w:left="1080" w:firstLine="0"/>
      </w:pPr>
    </w:lvl>
  </w:abstractNum>
  <w:abstractNum w:abstractNumId="7" w15:restartNumberingAfterBreak="0">
    <w:nsid w:val="02D850FC"/>
    <w:multiLevelType w:val="hybridMultilevel"/>
    <w:tmpl w:val="016E375A"/>
    <w:lvl w:ilvl="0" w:tplc="F95E3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0E1DAA"/>
    <w:multiLevelType w:val="multilevel"/>
    <w:tmpl w:val="300CA99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27A34D72"/>
    <w:multiLevelType w:val="multilevel"/>
    <w:tmpl w:val="851E483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92953D8"/>
    <w:multiLevelType w:val="multilevel"/>
    <w:tmpl w:val="300CA99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4942364D"/>
    <w:multiLevelType w:val="multilevel"/>
    <w:tmpl w:val="E8F6DE1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4DBD0D30"/>
    <w:multiLevelType w:val="hybridMultilevel"/>
    <w:tmpl w:val="AE8CCA2E"/>
    <w:lvl w:ilvl="0" w:tplc="096E3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9F41EDF"/>
    <w:multiLevelType w:val="multilevel"/>
    <w:tmpl w:val="0D20FE4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5B771E4D"/>
    <w:multiLevelType w:val="multilevel"/>
    <w:tmpl w:val="6DEC66E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725E5932"/>
    <w:multiLevelType w:val="multilevel"/>
    <w:tmpl w:val="20362C5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666ED1"/>
    <w:multiLevelType w:val="multilevel"/>
    <w:tmpl w:val="300CA99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2"/>
  </w:num>
  <w:num w:numId="9">
    <w:abstractNumId w:val="7"/>
  </w:num>
  <w:num w:numId="10">
    <w:abstractNumId w:val="13"/>
  </w:num>
  <w:num w:numId="11">
    <w:abstractNumId w:val="15"/>
  </w:num>
  <w:num w:numId="12">
    <w:abstractNumId w:val="11"/>
  </w:num>
  <w:num w:numId="13">
    <w:abstractNumId w:val="9"/>
  </w:num>
  <w:num w:numId="14">
    <w:abstractNumId w:val="14"/>
  </w:num>
  <w:num w:numId="15">
    <w:abstractNumId w:val="16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4be24ca1-44a5-4c25-8c01-b14f4f358cc9" w:val=" "/>
    <w:docVar w:name="vault_nd_fed50e5f-e4cd-49b6-807b-798d44fdce43" w:val=" "/>
  </w:docVars>
  <w:rsids>
    <w:rsidRoot w:val="00210BBF"/>
    <w:rsid w:val="000125BA"/>
    <w:rsid w:val="0002296D"/>
    <w:rsid w:val="00043057"/>
    <w:rsid w:val="000713C3"/>
    <w:rsid w:val="000714B9"/>
    <w:rsid w:val="000761DA"/>
    <w:rsid w:val="00076689"/>
    <w:rsid w:val="00093A49"/>
    <w:rsid w:val="000A2358"/>
    <w:rsid w:val="000A5630"/>
    <w:rsid w:val="000B4EEB"/>
    <w:rsid w:val="000C5F1A"/>
    <w:rsid w:val="000D0F91"/>
    <w:rsid w:val="000D4244"/>
    <w:rsid w:val="0010087F"/>
    <w:rsid w:val="0012159D"/>
    <w:rsid w:val="00143267"/>
    <w:rsid w:val="001444DB"/>
    <w:rsid w:val="00147DBB"/>
    <w:rsid w:val="001501C0"/>
    <w:rsid w:val="0015057D"/>
    <w:rsid w:val="00152E35"/>
    <w:rsid w:val="00166779"/>
    <w:rsid w:val="00170B1A"/>
    <w:rsid w:val="00174FD7"/>
    <w:rsid w:val="00190BF1"/>
    <w:rsid w:val="001C11FF"/>
    <w:rsid w:val="001D0710"/>
    <w:rsid w:val="001D07B6"/>
    <w:rsid w:val="001D4366"/>
    <w:rsid w:val="001F5E46"/>
    <w:rsid w:val="00210BBF"/>
    <w:rsid w:val="0021305D"/>
    <w:rsid w:val="00223367"/>
    <w:rsid w:val="00236666"/>
    <w:rsid w:val="00240B83"/>
    <w:rsid w:val="00243B06"/>
    <w:rsid w:val="002576EC"/>
    <w:rsid w:val="002603E5"/>
    <w:rsid w:val="00272693"/>
    <w:rsid w:val="002775F2"/>
    <w:rsid w:val="002863E9"/>
    <w:rsid w:val="00296291"/>
    <w:rsid w:val="002A5545"/>
    <w:rsid w:val="002B161E"/>
    <w:rsid w:val="002C5364"/>
    <w:rsid w:val="002D25F0"/>
    <w:rsid w:val="002D2973"/>
    <w:rsid w:val="002D2FAD"/>
    <w:rsid w:val="002E4FE9"/>
    <w:rsid w:val="002E6E59"/>
    <w:rsid w:val="003059F7"/>
    <w:rsid w:val="0031671D"/>
    <w:rsid w:val="003203C4"/>
    <w:rsid w:val="00324862"/>
    <w:rsid w:val="003305DC"/>
    <w:rsid w:val="00330FE2"/>
    <w:rsid w:val="00333F0F"/>
    <w:rsid w:val="00337B19"/>
    <w:rsid w:val="003452AE"/>
    <w:rsid w:val="00347B89"/>
    <w:rsid w:val="00350F12"/>
    <w:rsid w:val="003556D7"/>
    <w:rsid w:val="003558F0"/>
    <w:rsid w:val="0035672C"/>
    <w:rsid w:val="00357251"/>
    <w:rsid w:val="00365174"/>
    <w:rsid w:val="00365402"/>
    <w:rsid w:val="00370A6F"/>
    <w:rsid w:val="003956EF"/>
    <w:rsid w:val="003A6202"/>
    <w:rsid w:val="003B0478"/>
    <w:rsid w:val="003B3980"/>
    <w:rsid w:val="003B5854"/>
    <w:rsid w:val="003E1A0E"/>
    <w:rsid w:val="003E32D2"/>
    <w:rsid w:val="003F54C9"/>
    <w:rsid w:val="00400B28"/>
    <w:rsid w:val="004030F5"/>
    <w:rsid w:val="004334F8"/>
    <w:rsid w:val="004360D1"/>
    <w:rsid w:val="004714BF"/>
    <w:rsid w:val="00476C3A"/>
    <w:rsid w:val="00480E6E"/>
    <w:rsid w:val="00482AB2"/>
    <w:rsid w:val="004C0B45"/>
    <w:rsid w:val="004C25EB"/>
    <w:rsid w:val="004C2A8F"/>
    <w:rsid w:val="004D0181"/>
    <w:rsid w:val="004D2E51"/>
    <w:rsid w:val="004D5427"/>
    <w:rsid w:val="004D6BA7"/>
    <w:rsid w:val="004E56C1"/>
    <w:rsid w:val="004F02CA"/>
    <w:rsid w:val="004F3F5B"/>
    <w:rsid w:val="00510355"/>
    <w:rsid w:val="00516816"/>
    <w:rsid w:val="00531882"/>
    <w:rsid w:val="00532A71"/>
    <w:rsid w:val="005426CB"/>
    <w:rsid w:val="005433C1"/>
    <w:rsid w:val="00556DCB"/>
    <w:rsid w:val="00557343"/>
    <w:rsid w:val="0056060B"/>
    <w:rsid w:val="00560B10"/>
    <w:rsid w:val="00575A81"/>
    <w:rsid w:val="00582534"/>
    <w:rsid w:val="00590177"/>
    <w:rsid w:val="005930CA"/>
    <w:rsid w:val="00593F64"/>
    <w:rsid w:val="005A300B"/>
    <w:rsid w:val="005A32A0"/>
    <w:rsid w:val="005A535F"/>
    <w:rsid w:val="005A542E"/>
    <w:rsid w:val="005B0B35"/>
    <w:rsid w:val="005B7A53"/>
    <w:rsid w:val="005B7C0A"/>
    <w:rsid w:val="005C6A61"/>
    <w:rsid w:val="005C716B"/>
    <w:rsid w:val="005E46AE"/>
    <w:rsid w:val="005E738A"/>
    <w:rsid w:val="005F17D8"/>
    <w:rsid w:val="00600C85"/>
    <w:rsid w:val="00621A1C"/>
    <w:rsid w:val="006230CD"/>
    <w:rsid w:val="00623758"/>
    <w:rsid w:val="00631DC6"/>
    <w:rsid w:val="00635FF9"/>
    <w:rsid w:val="00662B2C"/>
    <w:rsid w:val="006666BB"/>
    <w:rsid w:val="00673B45"/>
    <w:rsid w:val="0067545A"/>
    <w:rsid w:val="00675ABA"/>
    <w:rsid w:val="006778AC"/>
    <w:rsid w:val="00681584"/>
    <w:rsid w:val="00693C7A"/>
    <w:rsid w:val="006948D5"/>
    <w:rsid w:val="00694913"/>
    <w:rsid w:val="006B6778"/>
    <w:rsid w:val="006B6EBB"/>
    <w:rsid w:val="006C4429"/>
    <w:rsid w:val="00701785"/>
    <w:rsid w:val="00701B86"/>
    <w:rsid w:val="00711BED"/>
    <w:rsid w:val="007163E0"/>
    <w:rsid w:val="0072362E"/>
    <w:rsid w:val="00737E27"/>
    <w:rsid w:val="00771073"/>
    <w:rsid w:val="007743FA"/>
    <w:rsid w:val="007827F2"/>
    <w:rsid w:val="00785EE8"/>
    <w:rsid w:val="0079474C"/>
    <w:rsid w:val="007A0379"/>
    <w:rsid w:val="007A3966"/>
    <w:rsid w:val="007A5E41"/>
    <w:rsid w:val="007B1136"/>
    <w:rsid w:val="007B2B70"/>
    <w:rsid w:val="007C71D7"/>
    <w:rsid w:val="007C748A"/>
    <w:rsid w:val="007E22C3"/>
    <w:rsid w:val="007E49F2"/>
    <w:rsid w:val="007E4F1A"/>
    <w:rsid w:val="007E51C2"/>
    <w:rsid w:val="00802339"/>
    <w:rsid w:val="00803A9E"/>
    <w:rsid w:val="00810566"/>
    <w:rsid w:val="00827D66"/>
    <w:rsid w:val="00840DFE"/>
    <w:rsid w:val="008428C6"/>
    <w:rsid w:val="00856E77"/>
    <w:rsid w:val="00860033"/>
    <w:rsid w:val="00864CFB"/>
    <w:rsid w:val="008665A4"/>
    <w:rsid w:val="00870232"/>
    <w:rsid w:val="00872C84"/>
    <w:rsid w:val="008734CB"/>
    <w:rsid w:val="008740A5"/>
    <w:rsid w:val="00875AFB"/>
    <w:rsid w:val="008764AC"/>
    <w:rsid w:val="00880A8C"/>
    <w:rsid w:val="008A31F1"/>
    <w:rsid w:val="008A600C"/>
    <w:rsid w:val="008A745C"/>
    <w:rsid w:val="008B5B55"/>
    <w:rsid w:val="008E0D9F"/>
    <w:rsid w:val="008E24BE"/>
    <w:rsid w:val="00907712"/>
    <w:rsid w:val="0091066E"/>
    <w:rsid w:val="00917791"/>
    <w:rsid w:val="00921832"/>
    <w:rsid w:val="00925976"/>
    <w:rsid w:val="009268E6"/>
    <w:rsid w:val="0093023B"/>
    <w:rsid w:val="00935E73"/>
    <w:rsid w:val="0094678B"/>
    <w:rsid w:val="00952E63"/>
    <w:rsid w:val="00962DCC"/>
    <w:rsid w:val="00972585"/>
    <w:rsid w:val="0099075B"/>
    <w:rsid w:val="00995957"/>
    <w:rsid w:val="009A1271"/>
    <w:rsid w:val="009A28A9"/>
    <w:rsid w:val="009C5E40"/>
    <w:rsid w:val="009C696F"/>
    <w:rsid w:val="009C7DC8"/>
    <w:rsid w:val="009D0DAB"/>
    <w:rsid w:val="009D34E9"/>
    <w:rsid w:val="009F06F4"/>
    <w:rsid w:val="00A07765"/>
    <w:rsid w:val="00A22093"/>
    <w:rsid w:val="00A25687"/>
    <w:rsid w:val="00A409A8"/>
    <w:rsid w:val="00A40D89"/>
    <w:rsid w:val="00A456D1"/>
    <w:rsid w:val="00A6450A"/>
    <w:rsid w:val="00A84783"/>
    <w:rsid w:val="00A95CC6"/>
    <w:rsid w:val="00AA53E8"/>
    <w:rsid w:val="00AA5B62"/>
    <w:rsid w:val="00AA6232"/>
    <w:rsid w:val="00AA727E"/>
    <w:rsid w:val="00AC4E4D"/>
    <w:rsid w:val="00AD2F46"/>
    <w:rsid w:val="00AE2356"/>
    <w:rsid w:val="00AE2C5F"/>
    <w:rsid w:val="00AE3F33"/>
    <w:rsid w:val="00AE737A"/>
    <w:rsid w:val="00AE78E7"/>
    <w:rsid w:val="00AF4AAF"/>
    <w:rsid w:val="00B0090B"/>
    <w:rsid w:val="00B037AE"/>
    <w:rsid w:val="00B0764A"/>
    <w:rsid w:val="00B119DD"/>
    <w:rsid w:val="00B136FB"/>
    <w:rsid w:val="00B16F5A"/>
    <w:rsid w:val="00B27447"/>
    <w:rsid w:val="00B33E39"/>
    <w:rsid w:val="00B34EB1"/>
    <w:rsid w:val="00B35089"/>
    <w:rsid w:val="00B35592"/>
    <w:rsid w:val="00B36C8E"/>
    <w:rsid w:val="00B63415"/>
    <w:rsid w:val="00B72384"/>
    <w:rsid w:val="00B95754"/>
    <w:rsid w:val="00BA0F46"/>
    <w:rsid w:val="00BA7B4A"/>
    <w:rsid w:val="00BD34F1"/>
    <w:rsid w:val="00BF710A"/>
    <w:rsid w:val="00C04EC9"/>
    <w:rsid w:val="00C06357"/>
    <w:rsid w:val="00C25C5E"/>
    <w:rsid w:val="00C62532"/>
    <w:rsid w:val="00C707EB"/>
    <w:rsid w:val="00C76941"/>
    <w:rsid w:val="00C76BF1"/>
    <w:rsid w:val="00C86FCB"/>
    <w:rsid w:val="00CA048E"/>
    <w:rsid w:val="00CA266D"/>
    <w:rsid w:val="00CA3498"/>
    <w:rsid w:val="00CA3E14"/>
    <w:rsid w:val="00CA61C2"/>
    <w:rsid w:val="00CB7810"/>
    <w:rsid w:val="00CD34C1"/>
    <w:rsid w:val="00CD4300"/>
    <w:rsid w:val="00CE10EF"/>
    <w:rsid w:val="00CF17B6"/>
    <w:rsid w:val="00CF518A"/>
    <w:rsid w:val="00D1547F"/>
    <w:rsid w:val="00D2531E"/>
    <w:rsid w:val="00D30604"/>
    <w:rsid w:val="00D42E83"/>
    <w:rsid w:val="00D53E38"/>
    <w:rsid w:val="00D9612B"/>
    <w:rsid w:val="00DA10FC"/>
    <w:rsid w:val="00DB020F"/>
    <w:rsid w:val="00DB48C4"/>
    <w:rsid w:val="00DB69AC"/>
    <w:rsid w:val="00DC0839"/>
    <w:rsid w:val="00DC2117"/>
    <w:rsid w:val="00DC3929"/>
    <w:rsid w:val="00DE163A"/>
    <w:rsid w:val="00DE38DF"/>
    <w:rsid w:val="00DF6D13"/>
    <w:rsid w:val="00DF71BE"/>
    <w:rsid w:val="00E062E9"/>
    <w:rsid w:val="00E135D3"/>
    <w:rsid w:val="00E20EBD"/>
    <w:rsid w:val="00E33F6F"/>
    <w:rsid w:val="00E37B58"/>
    <w:rsid w:val="00E464FA"/>
    <w:rsid w:val="00E51710"/>
    <w:rsid w:val="00E57CF7"/>
    <w:rsid w:val="00E66611"/>
    <w:rsid w:val="00E7219D"/>
    <w:rsid w:val="00E733AC"/>
    <w:rsid w:val="00E80D4D"/>
    <w:rsid w:val="00EA79D4"/>
    <w:rsid w:val="00EC3322"/>
    <w:rsid w:val="00ED4516"/>
    <w:rsid w:val="00EE0A7A"/>
    <w:rsid w:val="00EE786E"/>
    <w:rsid w:val="00EE7F74"/>
    <w:rsid w:val="00F2389A"/>
    <w:rsid w:val="00F23E04"/>
    <w:rsid w:val="00F54AB6"/>
    <w:rsid w:val="00F61186"/>
    <w:rsid w:val="00F6724D"/>
    <w:rsid w:val="00F73B06"/>
    <w:rsid w:val="00F816AC"/>
    <w:rsid w:val="00F82837"/>
    <w:rsid w:val="00F937BF"/>
    <w:rsid w:val="00FA0C93"/>
    <w:rsid w:val="00FA1272"/>
    <w:rsid w:val="00FA178D"/>
    <w:rsid w:val="00FA3F3C"/>
    <w:rsid w:val="00FD6EDB"/>
    <w:rsid w:val="00FE0BCB"/>
    <w:rsid w:val="00FE2213"/>
    <w:rsid w:val="00FF0B81"/>
    <w:rsid w:val="00FF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E9E029"/>
  <w15:chartTrackingRefBased/>
  <w15:docId w15:val="{F517B280-6CBD-4A67-83BD-D85C79F0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szCs w:val="24"/>
      <w:lang w:val="hu-HU"/>
    </w:rPr>
  </w:style>
  <w:style w:type="paragraph" w:styleId="Cmsor1">
    <w:name w:val="heading 1"/>
    <w:basedOn w:val="Norml"/>
    <w:next w:val="Norml"/>
    <w:qFormat/>
    <w:pPr>
      <w:keepNext/>
      <w:numPr>
        <w:numId w:val="7"/>
      </w:numPr>
      <w:ind w:left="0"/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7"/>
      </w:numPr>
      <w:ind w:left="0"/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7"/>
      </w:numPr>
      <w:ind w:left="0"/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7"/>
      </w:numPr>
      <w:ind w:left="0" w:right="-1"/>
      <w:outlineLvl w:val="3"/>
    </w:pPr>
    <w:rPr>
      <w:i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7"/>
      </w:numPr>
      <w:ind w:left="0"/>
      <w:outlineLvl w:val="4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8Num19z0">
    <w:name w:val="WW8Num19z0"/>
    <w:rPr>
      <w:rFonts w:ascii="Symbol" w:hAnsi="Symbol"/>
      <w:b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BodyText21">
    <w:name w:val="Body Text 21"/>
    <w:basedOn w:val="Norml"/>
  </w:style>
  <w:style w:type="paragraph" w:customStyle="1" w:styleId="BodyText31">
    <w:name w:val="Body Text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WW-BodyText3">
    <w:name w:val="WW-Body Text 3"/>
    <w:basedOn w:val="Norml"/>
    <w:pPr>
      <w:ind w:right="-622"/>
    </w:pPr>
    <w:rPr>
      <w:rFonts w:ascii="H-Times New Roman" w:hAnsi="H-Times New Roman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Oldalszm">
    <w:name w:val="page number"/>
    <w:basedOn w:val="Bekezdsalapbettpusa"/>
    <w:rsid w:val="00771073"/>
  </w:style>
  <w:style w:type="paragraph" w:customStyle="1" w:styleId="Revision1">
    <w:name w:val="Revision1"/>
    <w:hidden/>
    <w:uiPriority w:val="99"/>
    <w:semiHidden/>
    <w:rsid w:val="000713C3"/>
    <w:rPr>
      <w:rFonts w:eastAsia="HG Mincho Light J"/>
      <w:color w:val="000000"/>
      <w:sz w:val="24"/>
      <w:szCs w:val="24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713C3"/>
    <w:rPr>
      <w:rFonts w:ascii="Tahoma" w:hAnsi="Tahoma"/>
      <w:sz w:val="16"/>
      <w:szCs w:val="16"/>
      <w:lang w:val="x-none"/>
    </w:rPr>
  </w:style>
  <w:style w:type="character" w:customStyle="1" w:styleId="BuborkszvegChar">
    <w:name w:val="Buborékszöveg Char"/>
    <w:link w:val="Buborkszveg"/>
    <w:uiPriority w:val="99"/>
    <w:semiHidden/>
    <w:rsid w:val="000713C3"/>
    <w:rPr>
      <w:rFonts w:ascii="Tahoma" w:eastAsia="HG Mincho Light J" w:hAnsi="Tahoma" w:cs="Tahoma"/>
      <w:color w:val="000000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9077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07712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uiPriority w:val="99"/>
    <w:semiHidden/>
    <w:rsid w:val="00907712"/>
    <w:rPr>
      <w:rFonts w:eastAsia="HG Mincho Light J"/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077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907712"/>
    <w:rPr>
      <w:rFonts w:eastAsia="HG Mincho Light J"/>
      <w:b/>
      <w:bCs/>
      <w:color w:val="000000"/>
    </w:rPr>
  </w:style>
  <w:style w:type="character" w:customStyle="1" w:styleId="llbChar">
    <w:name w:val="Élőláb Char"/>
    <w:link w:val="llb"/>
    <w:uiPriority w:val="99"/>
    <w:rsid w:val="00330FE2"/>
    <w:rPr>
      <w:rFonts w:eastAsia="HG Mincho Light J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2576EC"/>
    <w:rPr>
      <w:rFonts w:eastAsia="HG Mincho Light J"/>
      <w:color w:val="000000"/>
      <w:sz w:val="24"/>
      <w:szCs w:val="24"/>
      <w:lang w:val="hu-HU"/>
    </w:rPr>
  </w:style>
  <w:style w:type="character" w:customStyle="1" w:styleId="CSIchar">
    <w:name w:val="CSIchar"/>
    <w:rsid w:val="00E062E9"/>
    <w:rPr>
      <w:bdr w:val="none" w:sz="0" w:space="0" w:color="auto"/>
      <w:shd w:val="clear" w:color="auto" w:fill="CCCCCC"/>
    </w:rPr>
  </w:style>
  <w:style w:type="paragraph" w:customStyle="1" w:styleId="BridgeheadGDS">
    <w:name w:val="Bridgehead GDS"/>
    <w:basedOn w:val="Norml"/>
    <w:autoRedefine/>
    <w:rsid w:val="00B35089"/>
    <w:pPr>
      <w:keepNext/>
      <w:widowControl/>
      <w:suppressAutoHyphens w:val="0"/>
      <w:outlineLvl w:val="0"/>
    </w:pPr>
    <w:rPr>
      <w:rFonts w:eastAsia="Times New Roman"/>
      <w:b/>
      <w:color w:val="auto"/>
      <w:szCs w:val="20"/>
      <w:lang w:val="en-GB" w:eastAsia="en-US"/>
    </w:rPr>
  </w:style>
  <w:style w:type="character" w:styleId="Hiperhivatkozs">
    <w:name w:val="Hyperlink"/>
    <w:rsid w:val="009F06F4"/>
    <w:rPr>
      <w:rFonts w:cs="Times New Roman"/>
      <w:color w:val="0000FF"/>
      <w:u w:val="single"/>
    </w:rPr>
  </w:style>
  <w:style w:type="paragraph" w:styleId="Cm">
    <w:name w:val="Title"/>
    <w:basedOn w:val="Norml"/>
    <w:next w:val="Norml"/>
    <w:link w:val="CmChar"/>
    <w:uiPriority w:val="10"/>
    <w:qFormat/>
    <w:rsid w:val="009A127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9A1271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0D0F91"/>
    <w:rPr>
      <w:rFonts w:eastAsia="HG Mincho Light J"/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A159A4-EC37-484E-B87B-BFA45B81BB5F}">
  <ds:schemaRefs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53bfddcd-ed87-4e2f-848a-2186ccceec32"/>
    <ds:schemaRef ds:uri="9ab13f10-ea91-4ae4-b716-2fc6226f5bbf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91695EE-CA95-4C41-A489-8AC6FE94F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375AF9-689E-41AB-9C30-AAF505661DF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2665</Words>
  <Characters>18390</Characters>
  <Application>Microsoft Office Word</Application>
  <DocSecurity>0</DocSecurity>
  <Lines>153</Lines>
  <Paragraphs>42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GlaxoSmithKline</Company>
  <LinksUpToDate>false</LinksUpToDate>
  <CharactersWithSpaces>21013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oqs40592</dc:creator>
  <cp:keywords/>
  <cp:lastModifiedBy>HU OGYI 49.1</cp:lastModifiedBy>
  <cp:revision>4</cp:revision>
  <cp:lastPrinted>2014-10-01T07:45:00Z</cp:lastPrinted>
  <dcterms:created xsi:type="dcterms:W3CDTF">2026-08-11T15:47:00Z</dcterms:created>
  <dcterms:modified xsi:type="dcterms:W3CDTF">2026-09-18T12:43:00Z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