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776FA" w14:textId="77777777" w:rsidR="00A25754" w:rsidRPr="001F2043" w:rsidRDefault="00A25754" w:rsidP="00A25754">
      <w:pPr>
        <w:widowControl w:val="0"/>
        <w:spacing w:line="240" w:lineRule="auto"/>
      </w:pPr>
      <w:r>
        <w:rPr>
          <w:b/>
        </w:rPr>
        <w:t>1.</w:t>
      </w:r>
      <w:r>
        <w:tab/>
      </w:r>
      <w:r>
        <w:rPr>
          <w:b/>
        </w:rPr>
        <w:t>A GYÓGYSZER NEVE</w:t>
      </w:r>
    </w:p>
    <w:p w14:paraId="3B8C2538" w14:textId="77777777" w:rsidR="00A25754" w:rsidRPr="001F2043" w:rsidRDefault="00A25754" w:rsidP="00A25754">
      <w:pPr>
        <w:spacing w:line="240" w:lineRule="auto"/>
        <w:rPr>
          <w:iCs/>
        </w:rPr>
      </w:pPr>
    </w:p>
    <w:p w14:paraId="0A7CAB5D" w14:textId="77777777" w:rsidR="00A25754" w:rsidRPr="00010D6F" w:rsidRDefault="00A25754" w:rsidP="00A25754">
      <w:pPr>
        <w:spacing w:line="240" w:lineRule="auto"/>
      </w:pPr>
      <w:r w:rsidRPr="00010D6F">
        <w:t>DUROGESIC</w:t>
      </w:r>
      <w:r w:rsidR="003466A8" w:rsidRPr="00010D6F">
        <w:t xml:space="preserve"> </w:t>
      </w:r>
      <w:r w:rsidRPr="00010D6F">
        <w:t>12</w:t>
      </w:r>
      <w:r w:rsidR="00EB441D" w:rsidRPr="00010D6F">
        <w:t> mikro</w:t>
      </w:r>
      <w:r w:rsidRPr="00010D6F">
        <w:t>gramm/óra transzdermális tapasz</w:t>
      </w:r>
    </w:p>
    <w:p w14:paraId="6BC6D657" w14:textId="77777777" w:rsidR="00A25754" w:rsidRPr="00010D6F" w:rsidRDefault="00A25754" w:rsidP="00A25754">
      <w:pPr>
        <w:spacing w:line="240" w:lineRule="auto"/>
      </w:pPr>
      <w:r w:rsidRPr="00010D6F">
        <w:t>DUROGESIC 25</w:t>
      </w:r>
      <w:r w:rsidR="00EB441D" w:rsidRPr="00010D6F">
        <w:t> mikro</w:t>
      </w:r>
      <w:r w:rsidRPr="00010D6F">
        <w:t>gramm/óra transzdermális tapasz</w:t>
      </w:r>
    </w:p>
    <w:p w14:paraId="4619B35A" w14:textId="77777777" w:rsidR="00A25754" w:rsidRPr="00010D6F" w:rsidRDefault="00A25754" w:rsidP="00686557">
      <w:pPr>
        <w:spacing w:line="240" w:lineRule="auto"/>
      </w:pPr>
      <w:r w:rsidRPr="00010D6F">
        <w:t>DUROGESIC 50</w:t>
      </w:r>
      <w:r w:rsidR="00EB441D" w:rsidRPr="00010D6F">
        <w:t> mikro</w:t>
      </w:r>
      <w:r w:rsidRPr="00010D6F">
        <w:t>gramm/óra transzdermális tapasz</w:t>
      </w:r>
    </w:p>
    <w:p w14:paraId="63026553" w14:textId="77777777" w:rsidR="00A25754" w:rsidRPr="00010D6F" w:rsidRDefault="00A25754" w:rsidP="00A25754">
      <w:pPr>
        <w:spacing w:line="240" w:lineRule="auto"/>
      </w:pPr>
      <w:r w:rsidRPr="00010D6F">
        <w:t>DUROGESIC 75</w:t>
      </w:r>
      <w:r w:rsidR="00EB441D" w:rsidRPr="00010D6F">
        <w:t> mikro</w:t>
      </w:r>
      <w:r w:rsidRPr="00010D6F">
        <w:t>gramm/óra transzdermális tapasz</w:t>
      </w:r>
    </w:p>
    <w:p w14:paraId="6DF614FD" w14:textId="77777777" w:rsidR="00A25754" w:rsidRPr="00A225FB" w:rsidRDefault="00A25754" w:rsidP="00A25754">
      <w:pPr>
        <w:spacing w:line="240" w:lineRule="auto"/>
      </w:pPr>
      <w:r w:rsidRPr="00010D6F">
        <w:t>DUROGESIC 100</w:t>
      </w:r>
      <w:r w:rsidR="00EB441D" w:rsidRPr="00010D6F">
        <w:t> mikro</w:t>
      </w:r>
      <w:r w:rsidRPr="00010D6F">
        <w:t>gramm/óra transzdermális tapasz</w:t>
      </w:r>
    </w:p>
    <w:p w14:paraId="14902712" w14:textId="77777777" w:rsidR="00A25754" w:rsidRPr="00A225FB" w:rsidRDefault="00A25754" w:rsidP="00A25754">
      <w:pPr>
        <w:spacing w:line="240" w:lineRule="auto"/>
      </w:pPr>
    </w:p>
    <w:p w14:paraId="7937AC6F" w14:textId="77777777" w:rsidR="00A25754" w:rsidRPr="00800755" w:rsidRDefault="00A25754" w:rsidP="00A25754">
      <w:pPr>
        <w:widowControl w:val="0"/>
        <w:spacing w:line="240" w:lineRule="auto"/>
      </w:pPr>
    </w:p>
    <w:p w14:paraId="67DF28CA" w14:textId="77777777" w:rsidR="00A25754" w:rsidRPr="001F2043" w:rsidRDefault="00A25754" w:rsidP="00A25754">
      <w:pPr>
        <w:widowControl w:val="0"/>
        <w:spacing w:line="240" w:lineRule="auto"/>
      </w:pPr>
      <w:r>
        <w:rPr>
          <w:b/>
        </w:rPr>
        <w:t>2.</w:t>
      </w:r>
      <w:r>
        <w:rPr>
          <w:b/>
        </w:rPr>
        <w:tab/>
        <w:t>MINŐSÉGI ÉS MENNYISÉGI ÖSSZETÉTEL</w:t>
      </w:r>
    </w:p>
    <w:p w14:paraId="772CC0FE" w14:textId="77777777" w:rsidR="00A25754" w:rsidRDefault="00A25754" w:rsidP="00A25754">
      <w:pPr>
        <w:spacing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77"/>
        <w:gridCol w:w="2173"/>
        <w:gridCol w:w="1378"/>
        <w:gridCol w:w="2043"/>
      </w:tblGrid>
      <w:tr w:rsidR="005A5841" w:rsidRPr="007F3C3D" w14:paraId="6E46E8CF" w14:textId="77777777" w:rsidTr="00877D89">
        <w:tc>
          <w:tcPr>
            <w:tcW w:w="35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F4DAE5" w14:textId="77777777" w:rsidR="005A5841" w:rsidRPr="00877D89" w:rsidRDefault="005A5841" w:rsidP="00595AF3">
            <w:pPr>
              <w:keepNext/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rPr>
                <w:lang w:val="en-GB" w:eastAsia="en-US"/>
              </w:rPr>
            </w:pPr>
            <w:bookmarkStart w:id="0" w:name="_Hlk528679918"/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7E382A" w14:textId="77777777" w:rsidR="005A5841" w:rsidRPr="007F3C3D" w:rsidRDefault="005A5841" w:rsidP="00595AF3">
            <w:pPr>
              <w:keepNext/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  <w:rPr>
                <w:b/>
              </w:rPr>
            </w:pPr>
            <w:r w:rsidRPr="007F3C3D">
              <w:rPr>
                <w:b/>
              </w:rPr>
              <w:t xml:space="preserve">DUROGESIC </w:t>
            </w:r>
            <w:r w:rsidR="00CD2FE8">
              <w:rPr>
                <w:b/>
              </w:rPr>
              <w:t>dózis</w:t>
            </w:r>
            <w:r w:rsidRPr="007F3C3D">
              <w:rPr>
                <w:b/>
              </w:rPr>
              <w:t xml:space="preserve"> (</w:t>
            </w:r>
            <w:r w:rsidRPr="005A5841">
              <w:rPr>
                <w:b/>
              </w:rPr>
              <w:t>mikrogramm/óra</w:t>
            </w:r>
            <w:r w:rsidRPr="007F3C3D">
              <w:rPr>
                <w:b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B3D8D34" w14:textId="77777777" w:rsidR="005A5841" w:rsidRPr="007F3C3D" w:rsidRDefault="005A5841" w:rsidP="00595AF3">
            <w:pPr>
              <w:keepNext/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  <w:rPr>
                <w:b/>
              </w:rPr>
            </w:pPr>
            <w:r>
              <w:rPr>
                <w:b/>
              </w:rPr>
              <w:t>Tapasz méret</w:t>
            </w:r>
            <w:r w:rsidRPr="007F3C3D">
              <w:rPr>
                <w:b/>
              </w:rPr>
              <w:t xml:space="preserve"> (cm</w:t>
            </w:r>
            <w:r w:rsidRPr="007F3C3D">
              <w:rPr>
                <w:b/>
                <w:vertAlign w:val="superscript"/>
              </w:rPr>
              <w:t>2</w:t>
            </w:r>
            <w:r w:rsidRPr="007F3C3D">
              <w:rPr>
                <w:b/>
              </w:rPr>
              <w:t>)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5EFE1A" w14:textId="77777777" w:rsidR="005A5841" w:rsidRPr="007F3C3D" w:rsidRDefault="005A5841" w:rsidP="00595AF3">
            <w:pPr>
              <w:keepNext/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Fentanil mennyiség</w:t>
            </w:r>
            <w:r w:rsidRPr="007F3C3D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tapaszonként</w:t>
            </w:r>
            <w:r w:rsidRPr="007F3C3D">
              <w:rPr>
                <w:b/>
                <w:lang w:val="en-US"/>
              </w:rPr>
              <w:t xml:space="preserve"> (mg)</w:t>
            </w:r>
          </w:p>
        </w:tc>
      </w:tr>
      <w:tr w:rsidR="005A5841" w:rsidRPr="007F3C3D" w14:paraId="4C68C58B" w14:textId="77777777" w:rsidTr="00010D6F">
        <w:tc>
          <w:tcPr>
            <w:tcW w:w="35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15E4456" w14:textId="77777777" w:rsidR="005A5841" w:rsidRPr="007F3C3D" w:rsidRDefault="005A5841" w:rsidP="00595AF3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</w:pPr>
            <w:r w:rsidRPr="007F3C3D">
              <w:t>DUROGESIC 12</w:t>
            </w:r>
            <w:r>
              <w:t> </w:t>
            </w:r>
            <w:r w:rsidRPr="00A225FB">
              <w:t>mikrogramm/óra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87069E4" w14:textId="77777777" w:rsidR="005A5841" w:rsidRPr="007F3C3D" w:rsidRDefault="005A5841" w:rsidP="00595AF3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7F3C3D">
              <w:t>12</w:t>
            </w:r>
            <w:r w:rsidRPr="007F3C3D">
              <w:rPr>
                <w:vertAlign w:val="superscrip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B9B10B7" w14:textId="77777777" w:rsidR="005A5841" w:rsidRPr="007F3C3D" w:rsidRDefault="005A5841" w:rsidP="00595AF3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>
              <w:t>5,</w:t>
            </w:r>
            <w:r w:rsidRPr="007F3C3D">
              <w:t>25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DD21DB" w14:textId="77777777" w:rsidR="005A5841" w:rsidRPr="007F3C3D" w:rsidRDefault="005A5841" w:rsidP="00595AF3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>
              <w:t>2,</w:t>
            </w:r>
            <w:r w:rsidRPr="007F3C3D">
              <w:t>1</w:t>
            </w:r>
          </w:p>
        </w:tc>
      </w:tr>
      <w:tr w:rsidR="005A5841" w:rsidRPr="00010D6F" w14:paraId="54A26E0A" w14:textId="77777777" w:rsidTr="00010D6F"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6F506B" w14:textId="77777777" w:rsidR="005A5841" w:rsidRPr="00010D6F" w:rsidRDefault="005A5841" w:rsidP="00937872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</w:pPr>
            <w:r w:rsidRPr="00010D6F">
              <w:t>DUROGESIC 25 mikrogramm/óra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6CFA6D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D01478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10,5</w:t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AE1682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4,2</w:t>
            </w:r>
          </w:p>
        </w:tc>
      </w:tr>
      <w:tr w:rsidR="005A5841" w:rsidRPr="00010D6F" w14:paraId="662D3036" w14:textId="77777777" w:rsidTr="00010D6F"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64565D" w14:textId="77777777" w:rsidR="005A5841" w:rsidRPr="00010D6F" w:rsidRDefault="005A5841" w:rsidP="00595AF3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</w:pPr>
            <w:r w:rsidRPr="00010D6F">
              <w:t>DUROGESIC 50 mikrogramm/óra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521ABC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D855F9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21,0</w:t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66E35C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8,4</w:t>
            </w:r>
          </w:p>
        </w:tc>
      </w:tr>
      <w:tr w:rsidR="005A5841" w:rsidRPr="00010D6F" w14:paraId="2A8AC046" w14:textId="77777777" w:rsidTr="00010D6F"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9F881E" w14:textId="77777777" w:rsidR="005A5841" w:rsidRPr="00010D6F" w:rsidRDefault="005A5841" w:rsidP="00595AF3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</w:pPr>
            <w:r w:rsidRPr="00010D6F">
              <w:t>DUROGESIC 75 mikrogramm/óra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35D471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23E279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31,5</w:t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B3F353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12,6</w:t>
            </w:r>
          </w:p>
        </w:tc>
      </w:tr>
      <w:tr w:rsidR="005A5841" w:rsidRPr="007F3C3D" w14:paraId="0E1630BB" w14:textId="77777777" w:rsidTr="00010D6F"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FF007E" w14:textId="77777777" w:rsidR="005A5841" w:rsidRPr="00010D6F" w:rsidRDefault="005A5841" w:rsidP="00595AF3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</w:pPr>
            <w:r w:rsidRPr="00010D6F">
              <w:t>DUROGESIC 100 mikrogramm/óra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C2AB0D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9044A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42,0</w:t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965A61" w14:textId="77777777" w:rsidR="005A5841" w:rsidRPr="00010D6F" w:rsidRDefault="005A5841" w:rsidP="00010D6F">
            <w:pPr>
              <w:tabs>
                <w:tab w:val="left" w:pos="-1440"/>
                <w:tab w:val="left" w:pos="-720"/>
                <w:tab w:val="left" w:pos="456"/>
                <w:tab w:val="left" w:pos="690"/>
                <w:tab w:val="left" w:pos="918"/>
              </w:tabs>
              <w:jc w:val="center"/>
            </w:pPr>
            <w:r w:rsidRPr="00010D6F">
              <w:t>16,8</w:t>
            </w:r>
          </w:p>
        </w:tc>
      </w:tr>
      <w:tr w:rsidR="005A5841" w:rsidRPr="007F3C3D" w14:paraId="44257F3B" w14:textId="77777777" w:rsidTr="00877D89">
        <w:tc>
          <w:tcPr>
            <w:tcW w:w="9287" w:type="dxa"/>
            <w:gridSpan w:val="4"/>
            <w:tcBorders>
              <w:top w:val="nil"/>
            </w:tcBorders>
          </w:tcPr>
          <w:p w14:paraId="04582238" w14:textId="77777777" w:rsidR="005A5841" w:rsidRPr="00022B45" w:rsidRDefault="005A5841" w:rsidP="00595AF3">
            <w:pPr>
              <w:tabs>
                <w:tab w:val="clear" w:pos="567"/>
                <w:tab w:val="left" w:pos="-1440"/>
                <w:tab w:val="left" w:pos="-720"/>
                <w:tab w:val="left" w:pos="360"/>
              </w:tabs>
              <w:ind w:left="360" w:hanging="360"/>
              <w:rPr>
                <w:shd w:val="clear" w:color="auto" w:fill="BFBFBF"/>
              </w:rPr>
            </w:pPr>
            <w:r w:rsidRPr="005F0DDC">
              <w:rPr>
                <w:vertAlign w:val="superscript"/>
              </w:rPr>
              <w:t>1</w:t>
            </w:r>
            <w:r w:rsidRPr="005F0DDC">
              <w:rPr>
                <w:vertAlign w:val="superscript"/>
              </w:rPr>
              <w:tab/>
            </w:r>
            <w:bookmarkStart w:id="1" w:name="_Hlk493091740"/>
            <w:r w:rsidRPr="005F0DDC">
              <w:rPr>
                <w:sz w:val="18"/>
              </w:rPr>
              <w:t xml:space="preserve">A legalacsonyabb </w:t>
            </w:r>
            <w:bookmarkEnd w:id="1"/>
            <w:r w:rsidRPr="005F0DDC">
              <w:rPr>
                <w:sz w:val="18"/>
              </w:rPr>
              <w:t xml:space="preserve">dózist 12 mikrogramm/óraként </w:t>
            </w:r>
            <w:r w:rsidR="00C87E8E" w:rsidRPr="005F0DDC">
              <w:rPr>
                <w:sz w:val="18"/>
              </w:rPr>
              <w:t xml:space="preserve">adják meg </w:t>
            </w:r>
            <w:r w:rsidRPr="005F0DDC">
              <w:rPr>
                <w:sz w:val="18"/>
              </w:rPr>
              <w:t>(</w:t>
            </w:r>
            <w:r w:rsidR="00C87E8E" w:rsidRPr="005F0DDC">
              <w:rPr>
                <w:sz w:val="18"/>
              </w:rPr>
              <w:t xml:space="preserve">bár a tényleges dózis 12,5 mikrogramm/óra) annak érdekében, hogy </w:t>
            </w:r>
            <w:r w:rsidR="00BF0260" w:rsidRPr="005F0DDC">
              <w:rPr>
                <w:sz w:val="18"/>
              </w:rPr>
              <w:t xml:space="preserve">ne legyen összetéveszthető </w:t>
            </w:r>
            <w:r w:rsidR="00C87E8E" w:rsidRPr="005F0DDC">
              <w:rPr>
                <w:sz w:val="18"/>
              </w:rPr>
              <w:t>a 125 mikrogramm/óra dózis</w:t>
            </w:r>
            <w:r w:rsidR="00BF0260" w:rsidRPr="005F0DDC">
              <w:rPr>
                <w:sz w:val="18"/>
              </w:rPr>
              <w:t>sal</w:t>
            </w:r>
            <w:r w:rsidR="00CD2FE8" w:rsidRPr="005F0DDC">
              <w:rPr>
                <w:sz w:val="18"/>
              </w:rPr>
              <w:t>, ami</w:t>
            </w:r>
            <w:r w:rsidR="00C87E8E" w:rsidRPr="005F0DDC">
              <w:rPr>
                <w:sz w:val="18"/>
              </w:rPr>
              <w:t xml:space="preserve"> több tapasz</w:t>
            </w:r>
            <w:r w:rsidR="00877D89" w:rsidRPr="005F0DDC">
              <w:rPr>
                <w:sz w:val="18"/>
              </w:rPr>
              <w:t xml:space="preserve"> </w:t>
            </w:r>
            <w:r w:rsidR="00EE2E10" w:rsidRPr="005F0DDC">
              <w:rPr>
                <w:sz w:val="18"/>
              </w:rPr>
              <w:t>alkalmazásával</w:t>
            </w:r>
            <w:r w:rsidR="002E1515" w:rsidRPr="005F0DDC">
              <w:rPr>
                <w:sz w:val="18"/>
              </w:rPr>
              <w:t xml:space="preserve"> </w:t>
            </w:r>
            <w:r w:rsidR="00EE2E10" w:rsidRPr="005F0DDC">
              <w:rPr>
                <w:sz w:val="18"/>
              </w:rPr>
              <w:t>írható fel</w:t>
            </w:r>
            <w:r w:rsidR="00877D89" w:rsidRPr="005F0DDC">
              <w:rPr>
                <w:sz w:val="18"/>
              </w:rPr>
              <w:t>.</w:t>
            </w:r>
          </w:p>
        </w:tc>
      </w:tr>
      <w:bookmarkEnd w:id="0"/>
    </w:tbl>
    <w:p w14:paraId="6D8EDFCF" w14:textId="77777777" w:rsidR="003466A8" w:rsidRPr="002D2F31" w:rsidRDefault="003466A8" w:rsidP="003466A8">
      <w:pPr>
        <w:rPr>
          <w:b/>
          <w:bCs/>
        </w:rPr>
      </w:pPr>
    </w:p>
    <w:p w14:paraId="1D2CFF30" w14:textId="77777777" w:rsidR="003466A8" w:rsidRPr="002D2F31" w:rsidRDefault="003466A8" w:rsidP="003466A8">
      <w:r w:rsidRPr="002D2F31">
        <w:t>A segédanyagok teljes listáját lásd a 6.1 pontban.</w:t>
      </w:r>
    </w:p>
    <w:p w14:paraId="624698FF" w14:textId="77777777" w:rsidR="00A25754" w:rsidRDefault="00A25754" w:rsidP="00A25754">
      <w:pPr>
        <w:spacing w:line="240" w:lineRule="auto"/>
      </w:pPr>
    </w:p>
    <w:p w14:paraId="49685031" w14:textId="77777777" w:rsidR="00A25754" w:rsidRDefault="00A25754" w:rsidP="00A25754">
      <w:pPr>
        <w:spacing w:line="240" w:lineRule="auto"/>
      </w:pPr>
    </w:p>
    <w:p w14:paraId="41D954AC" w14:textId="77777777" w:rsidR="00A25754" w:rsidRDefault="00A25754" w:rsidP="00A25754">
      <w:pPr>
        <w:spacing w:line="240" w:lineRule="auto"/>
        <w:ind w:left="567" w:hanging="567"/>
        <w:rPr>
          <w:b/>
          <w:caps/>
        </w:rPr>
      </w:pPr>
      <w:r>
        <w:rPr>
          <w:b/>
        </w:rPr>
        <w:t>3.</w:t>
      </w:r>
      <w:r>
        <w:rPr>
          <w:b/>
        </w:rPr>
        <w:tab/>
      </w:r>
      <w:r>
        <w:rPr>
          <w:b/>
          <w:caps/>
        </w:rPr>
        <w:t>GYÓGYSZERFORMA</w:t>
      </w:r>
    </w:p>
    <w:p w14:paraId="49922167" w14:textId="77777777" w:rsidR="00A25754" w:rsidRDefault="00A25754" w:rsidP="00A25754">
      <w:pPr>
        <w:spacing w:line="240" w:lineRule="auto"/>
      </w:pPr>
    </w:p>
    <w:p w14:paraId="06183ADF" w14:textId="77777777" w:rsidR="00A25754" w:rsidRDefault="00A25754" w:rsidP="00A25754">
      <w:pPr>
        <w:spacing w:line="240" w:lineRule="auto"/>
      </w:pPr>
      <w:r>
        <w:t>Transzdermális tapasz</w:t>
      </w:r>
    </w:p>
    <w:p w14:paraId="6A97374E" w14:textId="77777777" w:rsidR="00A25754" w:rsidRDefault="00A25754" w:rsidP="00A25754">
      <w:pPr>
        <w:spacing w:line="240" w:lineRule="auto"/>
      </w:pPr>
    </w:p>
    <w:p w14:paraId="46319150" w14:textId="77777777" w:rsidR="00877D89" w:rsidRDefault="00877D89" w:rsidP="00A25754">
      <w:pPr>
        <w:spacing w:line="240" w:lineRule="auto"/>
      </w:pPr>
      <w:r>
        <w:t xml:space="preserve">A </w:t>
      </w:r>
      <w:r w:rsidRPr="001950AB">
        <w:t xml:space="preserve">DUROGESIC </w:t>
      </w:r>
      <w:r>
        <w:t>n</w:t>
      </w:r>
      <w:r w:rsidRPr="002D2F31">
        <w:t>égyzet alakú, lekerekített sarkú, áttetsző transzdermális tapasz</w:t>
      </w:r>
      <w:r w:rsidR="00312AF3">
        <w:t xml:space="preserve">. </w:t>
      </w:r>
      <w:r w:rsidR="00EE2E10">
        <w:t xml:space="preserve">Minden egyes tapasz </w:t>
      </w:r>
      <w:r w:rsidR="00A90CF1">
        <w:t xml:space="preserve">színes </w:t>
      </w:r>
      <w:r w:rsidR="00B0401C">
        <w:t>jelölő</w:t>
      </w:r>
      <w:r w:rsidR="00EE2E10">
        <w:t>festékkel jelölt</w:t>
      </w:r>
      <w:r w:rsidR="00A90CF1">
        <w:t xml:space="preserve"> az alábbiak szerint: </w:t>
      </w:r>
    </w:p>
    <w:p w14:paraId="76A08C11" w14:textId="77777777" w:rsidR="00A90CF1" w:rsidRDefault="00A90CF1" w:rsidP="00DE2061">
      <w:pPr>
        <w:rPr>
          <w:u w:val="single"/>
        </w:rPr>
      </w:pPr>
    </w:p>
    <w:p w14:paraId="082A587F" w14:textId="77777777" w:rsidR="0054557A" w:rsidRPr="002D2F31" w:rsidRDefault="0054557A" w:rsidP="0054557A">
      <w:pPr>
        <w:rPr>
          <w:u w:val="single"/>
        </w:rPr>
      </w:pPr>
      <w:r w:rsidRPr="00CE7C80">
        <w:rPr>
          <w:u w:val="single"/>
        </w:rPr>
        <w:t>DUROGESIC 12 </w:t>
      </w:r>
      <w:r w:rsidRPr="00CE7C80">
        <w:rPr>
          <w:bCs/>
          <w:u w:val="single"/>
        </w:rPr>
        <w:t>mikrogramm</w:t>
      </w:r>
      <w:r w:rsidRPr="00CE7C80">
        <w:rPr>
          <w:u w:val="single"/>
        </w:rPr>
        <w:t>/óra transzdermális tapasz:</w:t>
      </w:r>
    </w:p>
    <w:p w14:paraId="5B91BE67" w14:textId="77777777" w:rsidR="0054557A" w:rsidRPr="002D2F31" w:rsidRDefault="0054557A" w:rsidP="0054557A">
      <w:r>
        <w:t xml:space="preserve">Minden egyes tapasz </w:t>
      </w:r>
      <w:r w:rsidRPr="002D2F31">
        <w:t>5,25 cm</w:t>
      </w:r>
      <w:r w:rsidRPr="009361C2">
        <w:t>²</w:t>
      </w:r>
      <w:r w:rsidRPr="002D2F31">
        <w:t xml:space="preserve"> felületű, narancssárga „DUROGESIC 12 </w:t>
      </w:r>
      <w:r w:rsidRPr="002D2F31">
        <w:rPr>
          <w:bCs/>
        </w:rPr>
        <w:t>μ</w:t>
      </w:r>
      <w:r w:rsidRPr="002D2F31">
        <w:t>g/h fentanyl” felirattal</w:t>
      </w:r>
      <w:r>
        <w:t xml:space="preserve"> és szegéllyel</w:t>
      </w:r>
      <w:r w:rsidRPr="002D2F31">
        <w:t xml:space="preserve"> jelöl</w:t>
      </w:r>
      <w:r>
        <w:t>t.</w:t>
      </w:r>
    </w:p>
    <w:p w14:paraId="01424D17" w14:textId="77777777" w:rsidR="0054557A" w:rsidRPr="00CE7C80" w:rsidRDefault="0054557A" w:rsidP="0054557A">
      <w:pPr>
        <w:rPr>
          <w:u w:val="single"/>
        </w:rPr>
      </w:pPr>
      <w:r w:rsidRPr="00CE7C80">
        <w:rPr>
          <w:u w:val="single"/>
        </w:rPr>
        <w:t>DUROGESIC 25 </w:t>
      </w:r>
      <w:r w:rsidRPr="00CE7C80">
        <w:rPr>
          <w:bCs/>
          <w:u w:val="single"/>
        </w:rPr>
        <w:t>mikrogramm</w:t>
      </w:r>
      <w:r w:rsidRPr="00CE7C80">
        <w:rPr>
          <w:u w:val="single"/>
        </w:rPr>
        <w:t>/óra transzdermális tapasz:</w:t>
      </w:r>
    </w:p>
    <w:p w14:paraId="67940C66" w14:textId="77777777" w:rsidR="0054557A" w:rsidRPr="00CE7C80" w:rsidRDefault="0054557A" w:rsidP="0054557A">
      <w:r w:rsidRPr="00CE7C80">
        <w:t>Minden egyes tapasz 10,5 cm² felületű, piros „DUROGESIC 25 </w:t>
      </w:r>
      <w:r w:rsidRPr="00CE7C80">
        <w:rPr>
          <w:bCs/>
        </w:rPr>
        <w:t>μ</w:t>
      </w:r>
      <w:r w:rsidRPr="00CE7C80">
        <w:t>g/h fentanyl” felirattal és szegéllyel jelölt.</w:t>
      </w:r>
    </w:p>
    <w:p w14:paraId="35AC82DE" w14:textId="77777777" w:rsidR="0054557A" w:rsidRPr="00CE7C80" w:rsidRDefault="0054557A" w:rsidP="0054557A">
      <w:pPr>
        <w:rPr>
          <w:u w:val="single"/>
        </w:rPr>
      </w:pPr>
      <w:r w:rsidRPr="00CE7C80">
        <w:rPr>
          <w:u w:val="single"/>
        </w:rPr>
        <w:t>DUROGESIC 50 </w:t>
      </w:r>
      <w:r w:rsidRPr="00CE7C80">
        <w:rPr>
          <w:bCs/>
          <w:u w:val="single"/>
        </w:rPr>
        <w:t>mikrogramm</w:t>
      </w:r>
      <w:r w:rsidRPr="00CE7C80">
        <w:rPr>
          <w:u w:val="single"/>
        </w:rPr>
        <w:t>/óra transzdermális tapasz:</w:t>
      </w:r>
    </w:p>
    <w:p w14:paraId="36254D79" w14:textId="77777777" w:rsidR="0054557A" w:rsidRPr="00CE7C80" w:rsidRDefault="0054557A" w:rsidP="0054557A">
      <w:r w:rsidRPr="00CE7C80">
        <w:t>Minden egyes tapasz 21 cm² felületű, zöld „DUROGESIC 50 </w:t>
      </w:r>
      <w:r w:rsidRPr="00CE7C80">
        <w:rPr>
          <w:bCs/>
        </w:rPr>
        <w:t>μ</w:t>
      </w:r>
      <w:r w:rsidRPr="00CE7C80">
        <w:t>g/h fentanyl” felirattal és szegéllyel jelölt.</w:t>
      </w:r>
    </w:p>
    <w:p w14:paraId="5019F818" w14:textId="77777777" w:rsidR="0054557A" w:rsidRPr="00CE7C80" w:rsidRDefault="0054557A" w:rsidP="0054557A">
      <w:pPr>
        <w:rPr>
          <w:u w:val="single"/>
        </w:rPr>
      </w:pPr>
      <w:r w:rsidRPr="00CE7C80">
        <w:rPr>
          <w:u w:val="single"/>
        </w:rPr>
        <w:t>DUROGESIC 75 </w:t>
      </w:r>
      <w:r w:rsidRPr="00CE7C80">
        <w:rPr>
          <w:bCs/>
          <w:u w:val="single"/>
        </w:rPr>
        <w:t>mikrogramm</w:t>
      </w:r>
      <w:r w:rsidRPr="00CE7C80">
        <w:rPr>
          <w:u w:val="single"/>
        </w:rPr>
        <w:t>/óra transzdermális tapasz:</w:t>
      </w:r>
    </w:p>
    <w:p w14:paraId="0F4F8218" w14:textId="77777777" w:rsidR="0054557A" w:rsidRPr="00CE7C80" w:rsidRDefault="0054557A" w:rsidP="0054557A">
      <w:r w:rsidRPr="00CE7C80">
        <w:t>Minden egyes tapasz 31,5 cm² felületű, kék „DUROGESIC 75 </w:t>
      </w:r>
      <w:r w:rsidRPr="00CE7C80">
        <w:rPr>
          <w:bCs/>
        </w:rPr>
        <w:t>μ</w:t>
      </w:r>
      <w:r w:rsidRPr="00CE7C80">
        <w:t>g/h fentanyl” felirattal és szegéllyel jelölt.</w:t>
      </w:r>
    </w:p>
    <w:p w14:paraId="783E903B" w14:textId="77777777" w:rsidR="0054557A" w:rsidRPr="00CE7C80" w:rsidRDefault="0054557A" w:rsidP="003D686B">
      <w:pPr>
        <w:keepNext/>
        <w:rPr>
          <w:u w:val="single"/>
        </w:rPr>
      </w:pPr>
      <w:r w:rsidRPr="00CE7C80">
        <w:rPr>
          <w:u w:val="single"/>
        </w:rPr>
        <w:t>DUROGESIC 100 </w:t>
      </w:r>
      <w:r w:rsidRPr="00CE7C80">
        <w:rPr>
          <w:bCs/>
          <w:u w:val="single"/>
        </w:rPr>
        <w:t>mikrogramm</w:t>
      </w:r>
      <w:r w:rsidRPr="00CE7C80">
        <w:rPr>
          <w:u w:val="single"/>
        </w:rPr>
        <w:t>/óra transzdermális tapasz:</w:t>
      </w:r>
    </w:p>
    <w:p w14:paraId="13302C82" w14:textId="77777777" w:rsidR="0054557A" w:rsidRPr="002D2F31" w:rsidRDefault="0054557A" w:rsidP="0054557A">
      <w:r w:rsidRPr="00CE7C80">
        <w:t>Minden egyes tapasz 42 cm² felületű, szürke „DUROGESIC 100 </w:t>
      </w:r>
      <w:r w:rsidRPr="00CE7C80">
        <w:rPr>
          <w:bCs/>
        </w:rPr>
        <w:t>μ</w:t>
      </w:r>
      <w:r w:rsidRPr="00CE7C80">
        <w:t>g/h fentanyl” felirattal és szegéllyel jelölt.</w:t>
      </w:r>
    </w:p>
    <w:p w14:paraId="3A28417B" w14:textId="77777777" w:rsidR="000D0190" w:rsidRDefault="000D0190" w:rsidP="00A25754">
      <w:pPr>
        <w:spacing w:line="240" w:lineRule="auto"/>
        <w:rPr>
          <w:sz w:val="18"/>
          <w:szCs w:val="18"/>
        </w:rPr>
      </w:pPr>
    </w:p>
    <w:p w14:paraId="3564E5C0" w14:textId="77777777" w:rsidR="004A3395" w:rsidRPr="000D0190" w:rsidRDefault="004A3395" w:rsidP="00A25754">
      <w:pPr>
        <w:spacing w:line="240" w:lineRule="auto"/>
        <w:rPr>
          <w:sz w:val="18"/>
          <w:szCs w:val="18"/>
        </w:rPr>
      </w:pPr>
    </w:p>
    <w:p w14:paraId="7ACEB6F6" w14:textId="77777777" w:rsidR="00A25754" w:rsidRDefault="00A25754" w:rsidP="00A25754">
      <w:pPr>
        <w:spacing w:line="240" w:lineRule="auto"/>
        <w:ind w:left="567" w:hanging="567"/>
        <w:rPr>
          <w:caps/>
        </w:rPr>
      </w:pPr>
      <w:r>
        <w:rPr>
          <w:b/>
          <w:caps/>
        </w:rPr>
        <w:t>4.</w:t>
      </w:r>
      <w:r>
        <w:rPr>
          <w:b/>
          <w:caps/>
        </w:rPr>
        <w:tab/>
        <w:t>KLINIKAI JELLEMZŐK</w:t>
      </w:r>
    </w:p>
    <w:p w14:paraId="674DEEC1" w14:textId="77777777" w:rsidR="00A25754" w:rsidRDefault="00A25754" w:rsidP="00A25754">
      <w:pPr>
        <w:spacing w:line="240" w:lineRule="auto"/>
      </w:pPr>
    </w:p>
    <w:p w14:paraId="33CD57D4" w14:textId="77777777" w:rsidR="00A25754" w:rsidRDefault="00A25754" w:rsidP="00A25754">
      <w:pPr>
        <w:spacing w:line="240" w:lineRule="auto"/>
        <w:ind w:left="567" w:hanging="567"/>
      </w:pPr>
      <w:r>
        <w:rPr>
          <w:b/>
        </w:rPr>
        <w:t>4.1</w:t>
      </w:r>
      <w:r>
        <w:rPr>
          <w:b/>
        </w:rPr>
        <w:tab/>
        <w:t>Terápiás javallatok</w:t>
      </w:r>
    </w:p>
    <w:p w14:paraId="67AF2133" w14:textId="77777777" w:rsidR="00A25754" w:rsidRDefault="00A25754" w:rsidP="00A25754">
      <w:pPr>
        <w:spacing w:line="240" w:lineRule="auto"/>
      </w:pPr>
    </w:p>
    <w:p w14:paraId="4499A2C7" w14:textId="77777777" w:rsidR="00A25754" w:rsidRPr="00907E04" w:rsidRDefault="00A25754" w:rsidP="00A25754">
      <w:pPr>
        <w:spacing w:line="240" w:lineRule="auto"/>
        <w:rPr>
          <w:u w:val="single"/>
        </w:rPr>
      </w:pPr>
      <w:r>
        <w:rPr>
          <w:u w:val="single"/>
        </w:rPr>
        <w:lastRenderedPageBreak/>
        <w:t>Felnőttek</w:t>
      </w:r>
    </w:p>
    <w:p w14:paraId="550692CB" w14:textId="77777777" w:rsidR="00A25754" w:rsidRDefault="00A25754" w:rsidP="00A25754">
      <w:pPr>
        <w:spacing w:line="240" w:lineRule="auto"/>
      </w:pPr>
      <w:r>
        <w:t>A DUROGESIC olyan súlyos krónikus fájdalom kezelésére javallott, amely folyamatos, hosszan tartó opioid</w:t>
      </w:r>
      <w:r w:rsidR="003B1399">
        <w:t>-</w:t>
      </w:r>
      <w:r>
        <w:t>alkalmazást igényel.</w:t>
      </w:r>
    </w:p>
    <w:p w14:paraId="783A622A" w14:textId="77777777" w:rsidR="00A25754" w:rsidRDefault="00A25754" w:rsidP="00A25754">
      <w:pPr>
        <w:spacing w:line="240" w:lineRule="auto"/>
      </w:pPr>
    </w:p>
    <w:p w14:paraId="72D4DF17" w14:textId="77777777" w:rsidR="00A25754" w:rsidRPr="00907E04" w:rsidRDefault="00A25754" w:rsidP="00081243">
      <w:pPr>
        <w:keepNext/>
        <w:spacing w:line="240" w:lineRule="auto"/>
        <w:rPr>
          <w:u w:val="single"/>
        </w:rPr>
      </w:pPr>
      <w:r>
        <w:rPr>
          <w:u w:val="single"/>
        </w:rPr>
        <w:t>Gyermekek</w:t>
      </w:r>
    </w:p>
    <w:p w14:paraId="6B7F5CAE" w14:textId="77777777" w:rsidR="00A25754" w:rsidRPr="00DA16CF" w:rsidRDefault="00A25754" w:rsidP="00081243">
      <w:pPr>
        <w:keepNext/>
        <w:spacing w:line="240" w:lineRule="auto"/>
      </w:pPr>
      <w:r>
        <w:t>A súlyos krónikus fájdalom hosszú távú kezelése 2</w:t>
      </w:r>
      <w:r w:rsidR="00EB441D">
        <w:t> év</w:t>
      </w:r>
      <w:r>
        <w:t>es kortól, opioid</w:t>
      </w:r>
      <w:r w:rsidR="00EB441D">
        <w:noBreakHyphen/>
      </w:r>
      <w:r>
        <w:t>kezelést kapó gyermekeknél.</w:t>
      </w:r>
    </w:p>
    <w:p w14:paraId="10136BA3" w14:textId="77777777" w:rsidR="00A25754" w:rsidRDefault="00A25754" w:rsidP="00081243">
      <w:pPr>
        <w:keepNext/>
        <w:spacing w:line="240" w:lineRule="auto"/>
      </w:pPr>
    </w:p>
    <w:p w14:paraId="5414F965" w14:textId="77777777" w:rsidR="00A25754" w:rsidRDefault="00A25754" w:rsidP="00A25754">
      <w:pPr>
        <w:spacing w:line="240" w:lineRule="auto"/>
        <w:ind w:left="567" w:hanging="567"/>
        <w:rPr>
          <w:b/>
        </w:rPr>
      </w:pPr>
      <w:r>
        <w:rPr>
          <w:b/>
        </w:rPr>
        <w:t>4.2</w:t>
      </w:r>
      <w:r>
        <w:rPr>
          <w:b/>
        </w:rPr>
        <w:tab/>
        <w:t>Adagolás és alkalmazás</w:t>
      </w:r>
    </w:p>
    <w:p w14:paraId="43B085D6" w14:textId="77777777" w:rsidR="00A25754" w:rsidRDefault="00A25754" w:rsidP="00A25754">
      <w:pPr>
        <w:spacing w:line="240" w:lineRule="auto"/>
        <w:ind w:left="567" w:hanging="567"/>
      </w:pPr>
    </w:p>
    <w:p w14:paraId="660B3D07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u w:val="single"/>
        </w:rPr>
        <w:t>Adagolás</w:t>
      </w:r>
    </w:p>
    <w:p w14:paraId="58313106" w14:textId="77777777" w:rsidR="00A25754" w:rsidRDefault="00A25754" w:rsidP="00A25754">
      <w:pPr>
        <w:spacing w:line="240" w:lineRule="auto"/>
      </w:pPr>
      <w:r>
        <w:t xml:space="preserve">A DUROGESIC adagját egyénileg kell megállapítani a beteg állapota alapján, amit az alkalmazás után rendszeres időközönként újra értékelni kell. A legalacsonyabb hatásos dózist kell alkalmazni. A tapaszokat úgy tervezték, hogy óránként </w:t>
      </w:r>
      <w:r w:rsidR="00357B56">
        <w:t xml:space="preserve">körülbelül </w:t>
      </w:r>
      <w:r>
        <w:t>12, 25, 50,</w:t>
      </w:r>
      <w:r w:rsidR="00EB441D">
        <w:t xml:space="preserve"> </w:t>
      </w:r>
      <w:r>
        <w:t>75, illetve 100</w:t>
      </w:r>
      <w:r w:rsidR="00EB441D">
        <w:t> mikro</w:t>
      </w:r>
      <w:r>
        <w:t>gramm fentanilt juttas</w:t>
      </w:r>
      <w:r w:rsidR="00032E13">
        <w:t>s</w:t>
      </w:r>
      <w:r>
        <w:t>anak a szisztémás keringésbe, ami sorrendben megközelítőleg naponta 0,3</w:t>
      </w:r>
      <w:r w:rsidR="00EB441D">
        <w:t> mg</w:t>
      </w:r>
      <w:r w:rsidR="00EB441D">
        <w:noBreakHyphen/>
        <w:t>nak</w:t>
      </w:r>
      <w:r>
        <w:t>, 0,6</w:t>
      </w:r>
      <w:r w:rsidR="00EB441D">
        <w:t> mg</w:t>
      </w:r>
      <w:r w:rsidR="00EB441D">
        <w:noBreakHyphen/>
        <w:t>nak</w:t>
      </w:r>
      <w:r>
        <w:t>, 1,2</w:t>
      </w:r>
      <w:r w:rsidR="00EB441D">
        <w:t> mg</w:t>
      </w:r>
      <w:r w:rsidR="00EB441D">
        <w:noBreakHyphen/>
        <w:t>nak</w:t>
      </w:r>
      <w:r>
        <w:t>, 1,8</w:t>
      </w:r>
      <w:r w:rsidR="00EB441D">
        <w:t> mg</w:t>
      </w:r>
      <w:r w:rsidR="00EB441D">
        <w:noBreakHyphen/>
        <w:t>nak</w:t>
      </w:r>
      <w:r>
        <w:t>, illetve 2,4</w:t>
      </w:r>
      <w:r w:rsidR="00EB441D">
        <w:t> mg</w:t>
      </w:r>
      <w:r w:rsidR="00EB441D">
        <w:noBreakHyphen/>
      </w:r>
      <w:r>
        <w:t>nak felel meg.</w:t>
      </w:r>
    </w:p>
    <w:p w14:paraId="72329A34" w14:textId="77777777" w:rsidR="00A25754" w:rsidRDefault="00A25754" w:rsidP="00A25754">
      <w:pPr>
        <w:spacing w:line="240" w:lineRule="auto"/>
      </w:pPr>
    </w:p>
    <w:p w14:paraId="1A52B3BB" w14:textId="77777777" w:rsidR="00A25754" w:rsidRPr="00EC27BE" w:rsidRDefault="00A25754" w:rsidP="00A25754">
      <w:pPr>
        <w:spacing w:line="240" w:lineRule="auto"/>
        <w:rPr>
          <w:i/>
          <w:u w:val="single"/>
        </w:rPr>
      </w:pPr>
      <w:r>
        <w:rPr>
          <w:i/>
          <w:u w:val="single"/>
        </w:rPr>
        <w:t>A kezdő adag megválasztása</w:t>
      </w:r>
    </w:p>
    <w:p w14:paraId="71C5C3B4" w14:textId="77777777" w:rsidR="00A25754" w:rsidRPr="002B1988" w:rsidRDefault="00A25754" w:rsidP="00A25754">
      <w:pPr>
        <w:spacing w:line="240" w:lineRule="auto"/>
      </w:pPr>
      <w:r>
        <w:t>A DUROGESIC megfelelő kezdő adagjának a beteg aktuális opioid</w:t>
      </w:r>
      <w:r w:rsidR="003B1399">
        <w:t>-</w:t>
      </w:r>
      <w:r>
        <w:t>használatán kell alapulnia. A DUROGESIC alkalmazása az opioid</w:t>
      </w:r>
      <w:r w:rsidR="003B1399">
        <w:t>-</w:t>
      </w:r>
      <w:r>
        <w:t>toleranciát mutató betegeknél ajánlott.</w:t>
      </w:r>
      <w:r w:rsidR="00225876">
        <w:t xml:space="preserve"> </w:t>
      </w:r>
      <w:r w:rsidR="00357B56">
        <w:t>E</w:t>
      </w:r>
      <w:r>
        <w:t>gyéb tényezők</w:t>
      </w:r>
      <w:r w:rsidR="00357B56">
        <w:t>, melyeket figyelembe kell venni,</w:t>
      </w:r>
      <w:r>
        <w:t xml:space="preserve"> a beteg aktuális általános állapota és egészségi állapota, beleértve a testméretet, az életkort és legyengülés mértékét, valamint az opioid</w:t>
      </w:r>
      <w:r w:rsidR="003B1399">
        <w:t>-</w:t>
      </w:r>
      <w:r>
        <w:t>tolerancia fok</w:t>
      </w:r>
      <w:r w:rsidR="00357B56">
        <w:t>a</w:t>
      </w:r>
      <w:r>
        <w:t>.</w:t>
      </w:r>
    </w:p>
    <w:p w14:paraId="4AF1C820" w14:textId="77777777" w:rsidR="00A25754" w:rsidRPr="00CB2FD9" w:rsidRDefault="00A25754" w:rsidP="00A25754">
      <w:pPr>
        <w:tabs>
          <w:tab w:val="clear" w:pos="567"/>
        </w:tabs>
        <w:spacing w:line="240" w:lineRule="auto"/>
      </w:pPr>
    </w:p>
    <w:p w14:paraId="389757A8" w14:textId="77777777" w:rsidR="00A25754" w:rsidRDefault="00A25754" w:rsidP="00C942B6">
      <w:pPr>
        <w:keepNext/>
        <w:spacing w:line="240" w:lineRule="auto"/>
        <w:rPr>
          <w:szCs w:val="22"/>
          <w:u w:val="single"/>
        </w:rPr>
      </w:pPr>
      <w:r>
        <w:rPr>
          <w:u w:val="single"/>
        </w:rPr>
        <w:t>Felnőttek</w:t>
      </w:r>
    </w:p>
    <w:p w14:paraId="210A8E51" w14:textId="77777777" w:rsidR="00A25754" w:rsidRPr="00EC27BE" w:rsidRDefault="00A25754" w:rsidP="00A25754">
      <w:pPr>
        <w:keepNext/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Opioid</w:t>
      </w:r>
      <w:r w:rsidR="00EB441D">
        <w:rPr>
          <w:i/>
          <w:u w:val="single"/>
        </w:rPr>
        <w:noBreakHyphen/>
      </w:r>
      <w:r>
        <w:rPr>
          <w:i/>
          <w:u w:val="single"/>
        </w:rPr>
        <w:t>toleráns betegek</w:t>
      </w:r>
    </w:p>
    <w:p w14:paraId="2D027B70" w14:textId="77777777" w:rsidR="00A25754" w:rsidRPr="002B1988" w:rsidRDefault="00A25754" w:rsidP="00A25754">
      <w:pPr>
        <w:tabs>
          <w:tab w:val="clear" w:pos="567"/>
        </w:tabs>
        <w:spacing w:line="240" w:lineRule="auto"/>
      </w:pPr>
      <w:r>
        <w:t>Az opioid</w:t>
      </w:r>
      <w:r w:rsidR="00EB441D">
        <w:noBreakHyphen/>
      </w:r>
      <w:r>
        <w:t xml:space="preserve">toleráns betegek </w:t>
      </w:r>
      <w:r w:rsidR="00EB441D">
        <w:t>oralis</w:t>
      </w:r>
      <w:r>
        <w:t xml:space="preserve"> vagy </w:t>
      </w:r>
      <w:r w:rsidR="00EB441D">
        <w:t>parenteralis</w:t>
      </w:r>
      <w:r>
        <w:t xml:space="preserve"> opioidokról DUROGESIC tapaszra történő átállításához olvassa el az ekvianalgetikus dózis átszámítása részt alább. Az adagot a terápiás választól és a kiegészítő analgetikum igénytől függően szükség szerint 12 vagy 25</w:t>
      </w:r>
      <w:r w:rsidR="00EB441D">
        <w:t> mikro</w:t>
      </w:r>
      <w:r>
        <w:t>gramm/óra mennyiséggel lehet emelni vagy csökkenteni, a legalacsonyabb megfelelő DUROGESIC adag eléréséig.</w:t>
      </w:r>
    </w:p>
    <w:p w14:paraId="53465280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BD7D808" w14:textId="77777777" w:rsidR="00A25754" w:rsidRPr="00EC27BE" w:rsidRDefault="00A25754" w:rsidP="00A25754">
      <w:pPr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Opioiddal korábban nem kezelt betegek</w:t>
      </w:r>
    </w:p>
    <w:p w14:paraId="32879B73" w14:textId="77777777" w:rsidR="00A25754" w:rsidRDefault="00A25754" w:rsidP="00A25754">
      <w:pPr>
        <w:tabs>
          <w:tab w:val="clear" w:pos="567"/>
        </w:tabs>
        <w:spacing w:line="240" w:lineRule="auto"/>
      </w:pPr>
      <w:r>
        <w:t>Az opioiddal korábban nem kezelt betegeknél a transzdermális útvonal rendszerint nem javasolt. Alternatív alkalmazási módokat (</w:t>
      </w:r>
      <w:r w:rsidR="00EB441D">
        <w:t>oralis</w:t>
      </w:r>
      <w:r>
        <w:t xml:space="preserve">, </w:t>
      </w:r>
      <w:r w:rsidR="00EB441D">
        <w:t>parenteralis</w:t>
      </w:r>
      <w:r>
        <w:t xml:space="preserve">) kell mérlegelni. A túladagolás megelőzése érdekében javasolt, hogy az opioiddal korábban nem kezelt betegek kis dózisú, azonnali hatóanyagleadású opioidokat (például morfint, hidromorfont, oxikodont, tramadolt </w:t>
      </w:r>
      <w:r w:rsidR="003B1399">
        <w:t>vagy</w:t>
      </w:r>
      <w:r>
        <w:t xml:space="preserve"> kodeint) kapjanak, amelyeket 12</w:t>
      </w:r>
      <w:r w:rsidR="00EB441D">
        <w:t> mikro</w:t>
      </w:r>
      <w:r>
        <w:t>gramm/óra vagy 25</w:t>
      </w:r>
      <w:r w:rsidR="00EB441D">
        <w:t> mikro</w:t>
      </w:r>
      <w:r>
        <w:t>gramm/óra felszabadulási sebességű DUROGESIC</w:t>
      </w:r>
      <w:r w:rsidR="00EB441D">
        <w:noBreakHyphen/>
      </w:r>
      <w:r>
        <w:t>nek megfelelő ekvianalgetikus adag eléréséig kell titrálni. Ezután a betegek átállíthatók DUROGESIC</w:t>
      </w:r>
      <w:r w:rsidR="00EB441D">
        <w:noBreakHyphen/>
      </w:r>
      <w:r>
        <w:t>re.</w:t>
      </w:r>
    </w:p>
    <w:p w14:paraId="17635DE0" w14:textId="77777777" w:rsidR="00A25754" w:rsidRDefault="00A25754" w:rsidP="00A25754">
      <w:pPr>
        <w:tabs>
          <w:tab w:val="clear" w:pos="567"/>
        </w:tabs>
        <w:spacing w:line="240" w:lineRule="auto"/>
      </w:pPr>
    </w:p>
    <w:p w14:paraId="5A151EB5" w14:textId="77777777" w:rsidR="00A25754" w:rsidRPr="002B1988" w:rsidRDefault="00A25754" w:rsidP="00A25754">
      <w:pPr>
        <w:tabs>
          <w:tab w:val="clear" w:pos="567"/>
        </w:tabs>
        <w:spacing w:line="240" w:lineRule="auto"/>
      </w:pPr>
      <w:r>
        <w:t>Olyan körülmények között, amikor az oralis opioidok</w:t>
      </w:r>
      <w:r w:rsidR="00AB7EA4">
        <w:t xml:space="preserve"> alkalmazásának</w:t>
      </w:r>
      <w:r>
        <w:t xml:space="preserve"> elkezdését nem tartják lehetségesnek, és az opioiddal korábban nem kezelt beteg</w:t>
      </w:r>
      <w:r w:rsidR="003F50DE">
        <w:t>ek</w:t>
      </w:r>
      <w:r>
        <w:t>nél a DUROGESIC</w:t>
      </w:r>
      <w:r w:rsidR="00EB441D">
        <w:noBreakHyphen/>
      </w:r>
      <w:r>
        <w:t>et tartják az egyetlen megfelelő terápiás lehetőségnek, kizárólag a legalacsonyabb kezdő adag (azaz a 12</w:t>
      </w:r>
      <w:r w:rsidR="00EB441D">
        <w:t> mikro</w:t>
      </w:r>
      <w:r>
        <w:t xml:space="preserve">gramm/óra) </w:t>
      </w:r>
      <w:r w:rsidR="00A80F25">
        <w:t>mérlegelendő</w:t>
      </w:r>
      <w:r>
        <w:t>. Ilyen körülmények között a beteget szorosan monitorozni kell. Fennáll a súlyos vagy életveszélyes hypoventilatio lehetősége, még akkor is, ha az opioiddal korábban még nem kezelt betegeknél kezdeti kezelésként a legalacsonyabb DUROGESIC dózist alkalmazzák (lásd 4.4 és 4.9</w:t>
      </w:r>
      <w:r w:rsidR="00456B89">
        <w:t> pont</w:t>
      </w:r>
      <w:r>
        <w:t>).</w:t>
      </w:r>
    </w:p>
    <w:p w14:paraId="7747F8C4" w14:textId="77777777" w:rsidR="00A25754" w:rsidRPr="00CB2FD9" w:rsidRDefault="00A25754" w:rsidP="00A25754">
      <w:pPr>
        <w:tabs>
          <w:tab w:val="clear" w:pos="567"/>
        </w:tabs>
        <w:spacing w:line="240" w:lineRule="auto"/>
      </w:pPr>
    </w:p>
    <w:p w14:paraId="1F1F7070" w14:textId="77777777" w:rsidR="00A25754" w:rsidRDefault="00A25754" w:rsidP="00A25754">
      <w:pPr>
        <w:tabs>
          <w:tab w:val="clear" w:pos="567"/>
        </w:tabs>
        <w:spacing w:line="240" w:lineRule="auto"/>
        <w:rPr>
          <w:i/>
          <w:szCs w:val="22"/>
          <w:u w:val="single"/>
        </w:rPr>
      </w:pPr>
      <w:r>
        <w:rPr>
          <w:i/>
          <w:u w:val="single"/>
        </w:rPr>
        <w:t>Az ekvianalgéziás potenciál átszámítása</w:t>
      </w:r>
    </w:p>
    <w:p w14:paraId="14294EA2" w14:textId="77777777" w:rsidR="00A25754" w:rsidRPr="00DE74CC" w:rsidRDefault="00A25754" w:rsidP="00A25754">
      <w:pPr>
        <w:tabs>
          <w:tab w:val="clear" w:pos="567"/>
        </w:tabs>
        <w:spacing w:line="240" w:lineRule="auto"/>
        <w:rPr>
          <w:szCs w:val="22"/>
        </w:rPr>
      </w:pPr>
      <w:r>
        <w:t>Az aktuálisan opioid fájdalomcsillapítókat kapó betegeknél a DUROGESIC kezdő adagjának a korábbi opioid napi adagján kell alapulnia. A DUROGESIC megfelelő kezdő dózisának kiszámításához az alábbi lépéseket</w:t>
      </w:r>
      <w:r w:rsidR="00225876">
        <w:t xml:space="preserve"> kell követni</w:t>
      </w:r>
      <w:r>
        <w:t>:</w:t>
      </w:r>
    </w:p>
    <w:p w14:paraId="0FBA5D71" w14:textId="77777777" w:rsidR="00A25754" w:rsidRPr="005D64FB" w:rsidRDefault="00A25754" w:rsidP="00A25754">
      <w:pPr>
        <w:numPr>
          <w:ilvl w:val="0"/>
          <w:numId w:val="2"/>
        </w:numPr>
        <w:tabs>
          <w:tab w:val="clear" w:pos="567"/>
          <w:tab w:val="clear" w:pos="1870"/>
          <w:tab w:val="left" w:pos="720"/>
        </w:tabs>
        <w:spacing w:line="240" w:lineRule="auto"/>
        <w:ind w:left="720"/>
        <w:rPr>
          <w:szCs w:val="22"/>
        </w:rPr>
      </w:pPr>
      <w:r>
        <w:t>Számítsa ki a jelenleg használt opioid 24</w:t>
      </w:r>
      <w:r w:rsidR="00225876">
        <w:t> órás</w:t>
      </w:r>
      <w:r>
        <w:t xml:space="preserve"> dózisát (mg/nap).</w:t>
      </w:r>
    </w:p>
    <w:p w14:paraId="7B9F818D" w14:textId="77777777" w:rsidR="00A25754" w:rsidRPr="005D64FB" w:rsidRDefault="00A25754" w:rsidP="00A25754">
      <w:pPr>
        <w:numPr>
          <w:ilvl w:val="0"/>
          <w:numId w:val="2"/>
        </w:numPr>
        <w:tabs>
          <w:tab w:val="clear" w:pos="567"/>
          <w:tab w:val="clear" w:pos="1870"/>
          <w:tab w:val="left" w:pos="720"/>
        </w:tabs>
        <w:spacing w:line="240" w:lineRule="auto"/>
        <w:ind w:left="720"/>
        <w:rPr>
          <w:szCs w:val="22"/>
        </w:rPr>
      </w:pPr>
      <w:r>
        <w:t>Az így kapott mennyiséget az 1.</w:t>
      </w:r>
      <w:r w:rsidR="00A80F25">
        <w:t> </w:t>
      </w:r>
      <w:r>
        <w:t>táblázatban található szorzótényezők segítségével számítsa át a megfelelő alkalmazás</w:t>
      </w:r>
      <w:r w:rsidR="003F50DE">
        <w:t>i</w:t>
      </w:r>
      <w:r>
        <w:t xml:space="preserve"> mód esetén megadott, 24</w:t>
      </w:r>
      <w:r w:rsidR="00225876">
        <w:t> órás</w:t>
      </w:r>
      <w:r>
        <w:t xml:space="preserve"> ekvianalgetikus oralis morfin adagra. </w:t>
      </w:r>
    </w:p>
    <w:p w14:paraId="313A05B2" w14:textId="77777777" w:rsidR="00A25754" w:rsidRPr="005D64FB" w:rsidRDefault="00A25754" w:rsidP="00A25754">
      <w:pPr>
        <w:numPr>
          <w:ilvl w:val="0"/>
          <w:numId w:val="2"/>
        </w:numPr>
        <w:tabs>
          <w:tab w:val="clear" w:pos="567"/>
          <w:tab w:val="clear" w:pos="1870"/>
          <w:tab w:val="left" w:pos="720"/>
        </w:tabs>
        <w:spacing w:line="240" w:lineRule="auto"/>
        <w:ind w:left="720"/>
        <w:rPr>
          <w:szCs w:val="22"/>
        </w:rPr>
      </w:pPr>
      <w:r>
        <w:t>A számított 24</w:t>
      </w:r>
      <w:r w:rsidR="00225876">
        <w:t> órás</w:t>
      </w:r>
      <w:r>
        <w:t xml:space="preserve"> ekvianalgetikus morfin adagnak megfelelő DUROGESIC adagot a 2.</w:t>
      </w:r>
      <w:r w:rsidR="00A80F25">
        <w:t> </w:t>
      </w:r>
      <w:r>
        <w:t>és 3.</w:t>
      </w:r>
      <w:r w:rsidR="00225876">
        <w:t> </w:t>
      </w:r>
      <w:r>
        <w:t>dózis átszámítási táblázat segítségével kell meghatározni, az alábbiak szerint:</w:t>
      </w:r>
    </w:p>
    <w:p w14:paraId="19F940BA" w14:textId="77777777" w:rsidR="00A25754" w:rsidRPr="005D64FB" w:rsidRDefault="00A25754" w:rsidP="00A25754">
      <w:pPr>
        <w:numPr>
          <w:ilvl w:val="0"/>
          <w:numId w:val="3"/>
        </w:numPr>
        <w:tabs>
          <w:tab w:val="clear" w:pos="567"/>
        </w:tabs>
        <w:spacing w:line="240" w:lineRule="auto"/>
        <w:ind w:left="1170"/>
        <w:rPr>
          <w:szCs w:val="22"/>
        </w:rPr>
      </w:pPr>
      <w:r>
        <w:t>az opioidcserét igénylő vagy a klinikailag kevésbé stabil felnőtt betegek esetén a 2.</w:t>
      </w:r>
      <w:r w:rsidR="00225876">
        <w:t> </w:t>
      </w:r>
      <w:r>
        <w:t xml:space="preserve">táblázatot kell használni (az </w:t>
      </w:r>
      <w:r w:rsidR="00EB441D">
        <w:t>oralis</w:t>
      </w:r>
      <w:r>
        <w:t xml:space="preserve"> morfinról transzdermális fentanilra történő átszámítási arány megközelítőleg 150:1). </w:t>
      </w:r>
    </w:p>
    <w:p w14:paraId="0A34E8DB" w14:textId="77777777" w:rsidR="00A25754" w:rsidRPr="005D64FB" w:rsidRDefault="00A25754" w:rsidP="00A25754">
      <w:pPr>
        <w:numPr>
          <w:ilvl w:val="0"/>
          <w:numId w:val="3"/>
        </w:numPr>
        <w:tabs>
          <w:tab w:val="clear" w:pos="567"/>
        </w:tabs>
        <w:spacing w:line="240" w:lineRule="auto"/>
        <w:ind w:left="1170"/>
        <w:rPr>
          <w:szCs w:val="22"/>
        </w:rPr>
      </w:pPr>
      <w:r>
        <w:t>a stabil és jól tolerált opioid adagolási rendet kapó stabil felnőtt betegek esetén a 3.</w:t>
      </w:r>
      <w:r w:rsidR="00225876">
        <w:t> </w:t>
      </w:r>
      <w:r>
        <w:t xml:space="preserve">táblázatot kell használni (az </w:t>
      </w:r>
      <w:r w:rsidR="00EB441D">
        <w:t>oralis</w:t>
      </w:r>
      <w:r>
        <w:t xml:space="preserve"> morfinról transzdermális fentanilra történő átszámítási arány megközelítőleg 100:1).</w:t>
      </w:r>
    </w:p>
    <w:p w14:paraId="2AD5BF66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51C7B7A" w14:textId="77777777" w:rsidR="00A25754" w:rsidRPr="000B692F" w:rsidRDefault="00A25754" w:rsidP="00A80F25">
      <w:pPr>
        <w:tabs>
          <w:tab w:val="clear" w:pos="567"/>
          <w:tab w:val="left" w:pos="180"/>
        </w:tabs>
        <w:spacing w:line="240" w:lineRule="auto"/>
        <w:ind w:left="1134" w:hanging="1134"/>
        <w:rPr>
          <w:b/>
          <w:szCs w:val="22"/>
        </w:rPr>
      </w:pPr>
      <w:r w:rsidRPr="000B692F">
        <w:rPr>
          <w:b/>
        </w:rPr>
        <w:t>1.</w:t>
      </w:r>
      <w:r w:rsidR="00D472FA">
        <w:rPr>
          <w:b/>
        </w:rPr>
        <w:t> </w:t>
      </w:r>
      <w:r w:rsidRPr="000B692F">
        <w:rPr>
          <w:b/>
        </w:rPr>
        <w:t xml:space="preserve">táblázat: </w:t>
      </w:r>
      <w:r w:rsidR="00A80F25" w:rsidRPr="000B692F">
        <w:rPr>
          <w:b/>
        </w:rPr>
        <w:tab/>
      </w:r>
      <w:r w:rsidRPr="000B692F">
        <w:rPr>
          <w:b/>
        </w:rPr>
        <w:t xml:space="preserve">Átszámítási táblázat </w:t>
      </w:r>
      <w:r w:rsidR="00EB441D" w:rsidRPr="000B692F">
        <w:rPr>
          <w:b/>
        </w:rPr>
        <w:noBreakHyphen/>
      </w:r>
      <w:r w:rsidRPr="000B692F">
        <w:rPr>
          <w:b/>
        </w:rPr>
        <w:t xml:space="preserve"> A korábbi opioid napi adag 24</w:t>
      </w:r>
      <w:r w:rsidR="00225876" w:rsidRPr="000B692F">
        <w:rPr>
          <w:b/>
        </w:rPr>
        <w:t> órás</w:t>
      </w:r>
      <w:r w:rsidRPr="000B692F">
        <w:rPr>
          <w:b/>
        </w:rPr>
        <w:t xml:space="preserve"> ekvianalgetikus oralis morfin adagra történő átszámításához szükséges szorzótényezők</w:t>
      </w:r>
    </w:p>
    <w:p w14:paraId="10B9E5D8" w14:textId="77777777" w:rsidR="00A25754" w:rsidRPr="000B692F" w:rsidRDefault="00A80F25" w:rsidP="00A80F25">
      <w:pPr>
        <w:tabs>
          <w:tab w:val="clear" w:pos="567"/>
          <w:tab w:val="left" w:pos="1134"/>
        </w:tabs>
        <w:spacing w:line="240" w:lineRule="auto"/>
        <w:ind w:left="1134" w:hanging="1134"/>
        <w:rPr>
          <w:b/>
          <w:sz w:val="18"/>
          <w:szCs w:val="18"/>
        </w:rPr>
      </w:pPr>
      <w:r w:rsidRPr="000B692F">
        <w:rPr>
          <w:b/>
        </w:rPr>
        <w:tab/>
      </w:r>
      <w:r w:rsidR="00A25754" w:rsidRPr="000B692F">
        <w:rPr>
          <w:b/>
        </w:rPr>
        <w:t xml:space="preserve">(mg/nap korábbi opioid x </w:t>
      </w:r>
      <w:r w:rsidR="00D96761" w:rsidRPr="000B692F">
        <w:rPr>
          <w:b/>
        </w:rPr>
        <w:t>szorzó</w:t>
      </w:r>
      <w:r w:rsidR="00A25754" w:rsidRPr="000B692F">
        <w:rPr>
          <w:b/>
        </w:rPr>
        <w:t>tényező = 24</w:t>
      </w:r>
      <w:r w:rsidR="00225876" w:rsidRPr="000B692F">
        <w:rPr>
          <w:b/>
        </w:rPr>
        <w:t> órás</w:t>
      </w:r>
      <w:r w:rsidR="00A25754" w:rsidRPr="000B692F">
        <w:rPr>
          <w:b/>
        </w:rPr>
        <w:t xml:space="preserve"> ekvianalgetikus oralis morfin adag)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5"/>
        <w:gridCol w:w="2880"/>
        <w:gridCol w:w="3036"/>
      </w:tblGrid>
      <w:tr w:rsidR="00A25754" w:rsidRPr="007644B7" w14:paraId="4237C203" w14:textId="77777777" w:rsidTr="00F61D76">
        <w:tc>
          <w:tcPr>
            <w:tcW w:w="31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B33FDF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Korábbi opioid</w:t>
            </w:r>
          </w:p>
        </w:tc>
        <w:tc>
          <w:tcPr>
            <w:tcW w:w="28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A634E3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Az alkalmazás módja</w:t>
            </w:r>
          </w:p>
        </w:tc>
        <w:tc>
          <w:tcPr>
            <w:tcW w:w="303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47D15E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Szorzótényező</w:t>
            </w:r>
          </w:p>
        </w:tc>
      </w:tr>
      <w:tr w:rsidR="00A25754" w:rsidRPr="007644B7" w14:paraId="2DCD8748" w14:textId="77777777" w:rsidTr="00F61D76">
        <w:tc>
          <w:tcPr>
            <w:tcW w:w="3145" w:type="dxa"/>
            <w:vMerge w:val="restar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AD623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rPr>
                <w:b/>
              </w:rPr>
              <w:t>morfin</w:t>
            </w:r>
          </w:p>
        </w:tc>
        <w:tc>
          <w:tcPr>
            <w:tcW w:w="288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095EFE1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206B9F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  <w:vertAlign w:val="superscript"/>
              </w:rPr>
            </w:pPr>
            <w:r>
              <w:t>1</w:t>
            </w:r>
            <w:r>
              <w:rPr>
                <w:vertAlign w:val="superscript"/>
              </w:rPr>
              <w:t>a</w:t>
            </w:r>
          </w:p>
        </w:tc>
      </w:tr>
      <w:tr w:rsidR="00A25754" w:rsidRPr="007644B7" w14:paraId="325A533A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CBAACD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64458D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CD0C37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  <w:vertAlign w:val="superscript"/>
              </w:rPr>
            </w:pPr>
            <w:r>
              <w:t>3</w:t>
            </w:r>
          </w:p>
        </w:tc>
      </w:tr>
      <w:tr w:rsidR="00A25754" w:rsidRPr="007644B7" w14:paraId="2F296211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37A938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buprenorfin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63AF52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t>sublingualis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49BECC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  <w:vertAlign w:val="superscript"/>
              </w:rPr>
            </w:pPr>
            <w:r>
              <w:t>75</w:t>
            </w:r>
          </w:p>
        </w:tc>
      </w:tr>
      <w:tr w:rsidR="00A25754" w:rsidRPr="007644B7" w14:paraId="50B0C0DB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A3E45D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7CBAD8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18E25C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  <w:vertAlign w:val="superscript"/>
              </w:rPr>
            </w:pPr>
            <w:r>
              <w:t>100</w:t>
            </w:r>
          </w:p>
        </w:tc>
      </w:tr>
      <w:tr w:rsidR="00A25754" w:rsidRPr="007644B7" w14:paraId="6CCD291B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E37ECE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kodein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84783B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054FA4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0,15</w:t>
            </w:r>
          </w:p>
        </w:tc>
      </w:tr>
      <w:tr w:rsidR="00A25754" w:rsidRPr="007644B7" w14:paraId="24253DCA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AEEB8B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8EFB59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4D8CF3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0,23</w:t>
            </w:r>
            <w:r>
              <w:rPr>
                <w:vertAlign w:val="superscript"/>
              </w:rPr>
              <w:t>b</w:t>
            </w:r>
          </w:p>
        </w:tc>
      </w:tr>
      <w:tr w:rsidR="00A25754" w:rsidRPr="007644B7" w14:paraId="39690F84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C03D6F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di</w:t>
            </w:r>
            <w:r w:rsidR="00D96761">
              <w:rPr>
                <w:b/>
              </w:rPr>
              <w:t>a</w:t>
            </w:r>
            <w:r>
              <w:rPr>
                <w:b/>
              </w:rPr>
              <w:t>morfin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019701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0AC65F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0,5</w:t>
            </w:r>
          </w:p>
        </w:tc>
      </w:tr>
      <w:tr w:rsidR="00A25754" w:rsidRPr="007644B7" w14:paraId="43AE6C28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850F1A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A10B40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394F92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6</w:t>
            </w:r>
            <w:r>
              <w:rPr>
                <w:vertAlign w:val="superscript"/>
              </w:rPr>
              <w:t>b</w:t>
            </w:r>
          </w:p>
        </w:tc>
      </w:tr>
      <w:tr w:rsidR="00A25754" w:rsidRPr="007644B7" w14:paraId="3C1E30E7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780563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fentanil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736C0D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04F455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noBreakHyphen/>
            </w:r>
          </w:p>
        </w:tc>
      </w:tr>
      <w:tr w:rsidR="00A25754" w:rsidRPr="007644B7" w14:paraId="6D59D151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46E774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2A4FAA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3F16C7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300</w:t>
            </w:r>
          </w:p>
        </w:tc>
      </w:tr>
      <w:tr w:rsidR="00A25754" w:rsidRPr="007644B7" w14:paraId="7EB2EABC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C0088A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hidromorfon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145034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55ABF6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4</w:t>
            </w:r>
          </w:p>
        </w:tc>
      </w:tr>
      <w:tr w:rsidR="00A25754" w:rsidRPr="007644B7" w14:paraId="675DC02A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E41D91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4F137A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AAF3F5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20</w:t>
            </w:r>
            <w:r>
              <w:rPr>
                <w:vertAlign w:val="superscript"/>
              </w:rPr>
              <w:t>b</w:t>
            </w:r>
          </w:p>
        </w:tc>
      </w:tr>
      <w:tr w:rsidR="00A25754" w:rsidRPr="007644B7" w14:paraId="3E3F9570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A1F403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ketobemidon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1AC804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7832BF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</w:t>
            </w:r>
          </w:p>
        </w:tc>
      </w:tr>
      <w:tr w:rsidR="00A25754" w:rsidRPr="007644B7" w14:paraId="3D9A1B28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54D18A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F76B88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E5166D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3</w:t>
            </w:r>
          </w:p>
        </w:tc>
      </w:tr>
      <w:tr w:rsidR="00A25754" w:rsidRPr="007644B7" w14:paraId="082E311B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1092EA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levorfanol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E0FC7E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432D51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7,5</w:t>
            </w:r>
          </w:p>
        </w:tc>
      </w:tr>
      <w:tr w:rsidR="00A25754" w:rsidRPr="007644B7" w14:paraId="09DAB146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E9783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A76ED0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52D5A3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15</w:t>
            </w:r>
            <w:r>
              <w:rPr>
                <w:vertAlign w:val="superscript"/>
              </w:rPr>
              <w:t>b</w:t>
            </w:r>
          </w:p>
        </w:tc>
      </w:tr>
      <w:tr w:rsidR="00A25754" w:rsidRPr="007644B7" w14:paraId="2D7C9E84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CF82DA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metadon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DBB66B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F1FCD1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1,5</w:t>
            </w:r>
          </w:p>
        </w:tc>
      </w:tr>
      <w:tr w:rsidR="00A25754" w:rsidRPr="007644B7" w14:paraId="71DAAE5C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D9F776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F7249C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445E18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3</w:t>
            </w:r>
            <w:r>
              <w:rPr>
                <w:vertAlign w:val="superscript"/>
              </w:rPr>
              <w:t>b</w:t>
            </w:r>
          </w:p>
        </w:tc>
      </w:tr>
      <w:tr w:rsidR="00A25754" w:rsidRPr="007644B7" w14:paraId="46431EFD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FF222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oxikodon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D90627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CDCD20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1,5</w:t>
            </w:r>
          </w:p>
        </w:tc>
      </w:tr>
      <w:tr w:rsidR="00A25754" w:rsidRPr="007644B7" w14:paraId="5F27F26E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08AC00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BB388B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4FD57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3</w:t>
            </w:r>
          </w:p>
        </w:tc>
      </w:tr>
      <w:tr w:rsidR="00A25754" w:rsidRPr="007644B7" w14:paraId="71773E40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8C61AC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oximorfon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8BB2B1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rectalis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52F46A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3</w:t>
            </w:r>
          </w:p>
        </w:tc>
      </w:tr>
      <w:tr w:rsidR="00A25754" w:rsidRPr="007644B7" w14:paraId="0095675C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9C22DA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1B394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2F8F4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30</w:t>
            </w:r>
            <w:r>
              <w:rPr>
                <w:vertAlign w:val="superscript"/>
              </w:rPr>
              <w:t>b</w:t>
            </w:r>
          </w:p>
        </w:tc>
      </w:tr>
      <w:tr w:rsidR="00A25754" w:rsidRPr="007644B7" w14:paraId="79105291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AAE92B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petidin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C01207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808237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noBreakHyphen/>
            </w:r>
          </w:p>
        </w:tc>
      </w:tr>
      <w:tr w:rsidR="00A25754" w:rsidRPr="007644B7" w14:paraId="1D1B19D7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3C75AC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7AF7A9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7C06BB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0,4</w:t>
            </w:r>
            <w:r>
              <w:rPr>
                <w:vertAlign w:val="superscript"/>
              </w:rPr>
              <w:t>b</w:t>
            </w:r>
          </w:p>
        </w:tc>
      </w:tr>
      <w:tr w:rsidR="00A25754" w:rsidRPr="007644B7" w14:paraId="1CDCA9C2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BB01C8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tapentadol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4023BC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A7A11D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0,4</w:t>
            </w:r>
          </w:p>
        </w:tc>
      </w:tr>
      <w:tr w:rsidR="00A25754" w:rsidRPr="007644B7" w14:paraId="25F00366" w14:textId="77777777" w:rsidTr="00F61D76">
        <w:tc>
          <w:tcPr>
            <w:tcW w:w="31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69313F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931973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442944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noBreakHyphen/>
            </w:r>
          </w:p>
        </w:tc>
      </w:tr>
      <w:tr w:rsidR="00A25754" w:rsidRPr="007644B7" w14:paraId="3DF6BCF6" w14:textId="77777777" w:rsidTr="00F61D76">
        <w:tc>
          <w:tcPr>
            <w:tcW w:w="3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F36E7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vertAlign w:val="superscript"/>
              </w:rPr>
            </w:pPr>
            <w:r>
              <w:rPr>
                <w:b/>
              </w:rPr>
              <w:t>tramadol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A9DD09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oralis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91870C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0,25</w:t>
            </w:r>
          </w:p>
        </w:tc>
      </w:tr>
      <w:tr w:rsidR="00A25754" w:rsidRPr="007644B7" w14:paraId="108A9358" w14:textId="77777777" w:rsidTr="00E90860">
        <w:tc>
          <w:tcPr>
            <w:tcW w:w="314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BC0EE5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9445C0" w14:textId="77777777" w:rsidR="00A25754" w:rsidRPr="007644B7" w:rsidRDefault="00EB441D" w:rsidP="00A25754">
            <w:pPr>
              <w:tabs>
                <w:tab w:val="clear" w:pos="567"/>
              </w:tabs>
              <w:spacing w:line="240" w:lineRule="auto"/>
              <w:rPr>
                <w:szCs w:val="22"/>
                <w:vertAlign w:val="superscript"/>
              </w:rPr>
            </w:pPr>
            <w:r>
              <w:t>parenteralis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44B96E" w14:textId="77777777" w:rsidR="00A25754" w:rsidRPr="007644B7" w:rsidRDefault="00A25754" w:rsidP="00A25754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>
              <w:t>0,3</w:t>
            </w:r>
          </w:p>
        </w:tc>
      </w:tr>
      <w:tr w:rsidR="00F1390D" w:rsidRPr="007644B7" w14:paraId="6044D0B8" w14:textId="77777777" w:rsidTr="00E90860">
        <w:trPr>
          <w:trHeight w:val="518"/>
        </w:trPr>
        <w:tc>
          <w:tcPr>
            <w:tcW w:w="90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F435D67" w14:textId="77777777" w:rsidR="00F1390D" w:rsidRDefault="00F1390D" w:rsidP="00F1390D">
            <w:pPr>
              <w:tabs>
                <w:tab w:val="clear" w:pos="567"/>
                <w:tab w:val="left" w:pos="180"/>
              </w:tabs>
              <w:spacing w:line="240" w:lineRule="auto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vertAlign w:val="superscript"/>
              </w:rPr>
              <w:t>a</w:t>
            </w:r>
            <w:r>
              <w:rPr>
                <w:sz w:val="18"/>
              </w:rPr>
              <w:tab/>
              <w:t>A morfin oralis/im. potenciálja a krónikus fájdalomban szenvedő betegekkel szerzett klinikai tapasztalaton alapul.</w:t>
            </w:r>
          </w:p>
          <w:p w14:paraId="4663085E" w14:textId="77777777" w:rsidR="00F1390D" w:rsidRDefault="00F1390D" w:rsidP="00E90860">
            <w:pPr>
              <w:tabs>
                <w:tab w:val="clear" w:pos="567"/>
                <w:tab w:val="left" w:pos="180"/>
              </w:tabs>
              <w:spacing w:line="240" w:lineRule="auto"/>
              <w:ind w:left="180" w:hanging="180"/>
            </w:pPr>
            <w:r>
              <w:rPr>
                <w:sz w:val="18"/>
                <w:vertAlign w:val="superscript"/>
              </w:rPr>
              <w:t>b</w:t>
            </w:r>
            <w:r>
              <w:rPr>
                <w:sz w:val="18"/>
              </w:rPr>
              <w:tab/>
              <w:t>Egyszeri dózisokkal végzett vizsgálatok alapján, ahol a relatív potenciál meghatározása érdekében a felsorolt hatóanyagok im. adagját morfinnal hasonlították össze. Az oralis adagok a parenteralis alkalmazási módról oralisra történő váltásakor ajánlott adagok.</w:t>
            </w:r>
          </w:p>
        </w:tc>
      </w:tr>
    </w:tbl>
    <w:p w14:paraId="4B080320" w14:textId="77777777" w:rsidR="00A25754" w:rsidRPr="000C1388" w:rsidRDefault="00A25754" w:rsidP="00A25754">
      <w:pPr>
        <w:tabs>
          <w:tab w:val="clear" w:pos="567"/>
          <w:tab w:val="left" w:pos="180"/>
        </w:tabs>
        <w:spacing w:line="240" w:lineRule="auto"/>
        <w:rPr>
          <w:sz w:val="18"/>
          <w:szCs w:val="18"/>
        </w:rPr>
      </w:pPr>
    </w:p>
    <w:p w14:paraId="0D6CCC21" w14:textId="77777777" w:rsidR="00A25754" w:rsidRPr="005D64FB" w:rsidRDefault="00A25754" w:rsidP="00A25754">
      <w:pPr>
        <w:tabs>
          <w:tab w:val="clear" w:pos="567"/>
        </w:tabs>
        <w:spacing w:line="240" w:lineRule="auto"/>
        <w:rPr>
          <w:szCs w:val="22"/>
        </w:rPr>
      </w:pPr>
      <w:r>
        <w:t>Hivatkozás: Átvéve: 1) Foley KM. The treatment of cancer pain. NEJM 1985; 313 (2): 84</w:t>
      </w:r>
      <w:r w:rsidR="00EB441D">
        <w:noBreakHyphen/>
      </w:r>
      <w:r>
        <w:t>95 és 2) McPherson ML. Introduction to opioid conversion calculations. In: Demystifying Opioid Conversion Calculations: A Guide for Effective Dosing. Bethesda, MD: American Society of Health</w:t>
      </w:r>
      <w:r w:rsidR="00EB441D">
        <w:noBreakHyphen/>
      </w:r>
      <w:r>
        <w:t>System Pharmacists; 2010:1</w:t>
      </w:r>
      <w:r w:rsidR="00EB441D">
        <w:noBreakHyphen/>
      </w:r>
      <w:r>
        <w:t>15.</w:t>
      </w:r>
    </w:p>
    <w:p w14:paraId="21DFB7E0" w14:textId="77777777" w:rsidR="00A25754" w:rsidRPr="00CB2FD9" w:rsidRDefault="00A25754" w:rsidP="00A25754">
      <w:pPr>
        <w:tabs>
          <w:tab w:val="clear" w:pos="567"/>
        </w:tabs>
        <w:spacing w:line="240" w:lineRule="auto"/>
      </w:pPr>
    </w:p>
    <w:tbl>
      <w:tblPr>
        <w:tblW w:w="5000" w:type="pct"/>
        <w:tblLook w:val="0020" w:firstRow="1" w:lastRow="0" w:firstColumn="0" w:lastColumn="0" w:noHBand="0" w:noVBand="0"/>
      </w:tblPr>
      <w:tblGrid>
        <w:gridCol w:w="4641"/>
        <w:gridCol w:w="4430"/>
      </w:tblGrid>
      <w:tr w:rsidR="00A25754" w:rsidRPr="00D94DF2" w14:paraId="27EC5C4E" w14:textId="77777777" w:rsidTr="00A25754">
        <w:tc>
          <w:tcPr>
            <w:tcW w:w="6818" w:type="dxa"/>
            <w:gridSpan w:val="2"/>
            <w:tcBorders>
              <w:bottom w:val="single" w:sz="4" w:space="0" w:color="auto"/>
            </w:tcBorders>
            <w:vAlign w:val="bottom"/>
          </w:tcPr>
          <w:p w14:paraId="1E9DD475" w14:textId="77777777" w:rsidR="00A25754" w:rsidRPr="000B692F" w:rsidRDefault="00A25754" w:rsidP="000B692F">
            <w:pPr>
              <w:pStyle w:val="Normal2"/>
              <w:keepNext/>
              <w:ind w:left="1134" w:hanging="1134"/>
              <w:jc w:val="left"/>
              <w:rPr>
                <w:b/>
                <w:sz w:val="22"/>
                <w:szCs w:val="22"/>
              </w:rPr>
            </w:pPr>
            <w:r w:rsidRPr="000B692F">
              <w:rPr>
                <w:b/>
                <w:sz w:val="22"/>
              </w:rPr>
              <w:t>2.</w:t>
            </w:r>
            <w:r w:rsidR="00A80F25" w:rsidRPr="000B692F">
              <w:rPr>
                <w:b/>
                <w:sz w:val="22"/>
              </w:rPr>
              <w:t> </w:t>
            </w:r>
            <w:r w:rsidRPr="000B692F">
              <w:rPr>
                <w:b/>
                <w:sz w:val="22"/>
              </w:rPr>
              <w:t>táblázat:</w:t>
            </w:r>
            <w:r w:rsidRPr="000B692F">
              <w:rPr>
                <w:b/>
                <w:sz w:val="22"/>
              </w:rPr>
              <w:tab/>
            </w:r>
            <w:r w:rsidRPr="000B692F">
              <w:rPr>
                <w:b/>
                <w:sz w:val="22"/>
                <w:szCs w:val="22"/>
              </w:rPr>
              <w:t xml:space="preserve">A DUROGESIC javasolt kezdő adagja a morfin napi oralis adagján alapul (az opioidcserét igénylő vagy a klinikailag kevésbé stabil betegek esetén: az </w:t>
            </w:r>
            <w:r w:rsidR="00EB441D" w:rsidRPr="000B692F">
              <w:rPr>
                <w:b/>
                <w:sz w:val="22"/>
                <w:szCs w:val="22"/>
              </w:rPr>
              <w:t>oralis</w:t>
            </w:r>
            <w:r w:rsidRPr="000B692F">
              <w:rPr>
                <w:b/>
                <w:sz w:val="22"/>
                <w:szCs w:val="22"/>
              </w:rPr>
              <w:t xml:space="preserve"> morfinról transzdermális fentanilra történő átszámítási arány megközelítőleg</w:t>
            </w:r>
            <w:r w:rsidR="000B692F">
              <w:rPr>
                <w:b/>
                <w:sz w:val="22"/>
                <w:szCs w:val="22"/>
              </w:rPr>
              <w:t> </w:t>
            </w:r>
            <w:r w:rsidRPr="000B692F">
              <w:rPr>
                <w:b/>
                <w:sz w:val="22"/>
                <w:szCs w:val="22"/>
              </w:rPr>
              <w:t>150:1)</w:t>
            </w:r>
            <w:r w:rsidRPr="000B692F">
              <w:rPr>
                <w:b/>
                <w:sz w:val="22"/>
                <w:szCs w:val="22"/>
                <w:vertAlign w:val="superscript"/>
              </w:rPr>
              <w:t>1</w:t>
            </w:r>
          </w:p>
        </w:tc>
      </w:tr>
      <w:tr w:rsidR="00A25754" w:rsidRPr="00D94DF2" w14:paraId="14508919" w14:textId="77777777" w:rsidTr="00A25754"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9DE0F9" w14:textId="77777777" w:rsidR="00A25754" w:rsidRPr="00D94DF2" w:rsidRDefault="00A25754" w:rsidP="00A25754">
            <w:pPr>
              <w:pStyle w:val="Normal2"/>
              <w:keepNext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>Oralis 24</w:t>
            </w:r>
            <w:r w:rsidR="00225876">
              <w:rPr>
                <w:b/>
                <w:sz w:val="22"/>
              </w:rPr>
              <w:t> órás</w:t>
            </w:r>
            <w:r>
              <w:rPr>
                <w:b/>
                <w:sz w:val="22"/>
              </w:rPr>
              <w:t xml:space="preserve"> morfin</w:t>
            </w:r>
            <w:r>
              <w:br/>
            </w:r>
            <w:r>
              <w:rPr>
                <w:b/>
                <w:sz w:val="22"/>
              </w:rPr>
              <w:t>(mg/nap)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CC729F" w14:textId="77777777" w:rsidR="00A25754" w:rsidRPr="00D94DF2" w:rsidRDefault="00A25754" w:rsidP="00A25754">
            <w:pPr>
              <w:pStyle w:val="Normal2"/>
              <w:keepNext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>DUROGESIC</w:t>
            </w:r>
            <w:r>
              <w:br/>
            </w:r>
            <w:r w:rsidR="00D20ED4">
              <w:rPr>
                <w:b/>
                <w:sz w:val="22"/>
              </w:rPr>
              <w:t>a</w:t>
            </w:r>
            <w:r>
              <w:rPr>
                <w:b/>
                <w:sz w:val="22"/>
              </w:rPr>
              <w:t>dagolás</w:t>
            </w:r>
          </w:p>
          <w:p w14:paraId="0E560027" w14:textId="77777777" w:rsidR="00A25754" w:rsidRPr="00D94DF2" w:rsidRDefault="00A25754" w:rsidP="00A25754">
            <w:pPr>
              <w:pStyle w:val="Normal2"/>
              <w:keepNext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>(mikrogramm/óra)</w:t>
            </w:r>
          </w:p>
        </w:tc>
      </w:tr>
      <w:tr w:rsidR="00A25754" w:rsidRPr="00D94DF2" w14:paraId="7251EFD4" w14:textId="77777777" w:rsidTr="00A25754">
        <w:trPr>
          <w:trHeight w:val="100"/>
        </w:trPr>
        <w:tc>
          <w:tcPr>
            <w:tcW w:w="3488" w:type="dxa"/>
          </w:tcPr>
          <w:p w14:paraId="70A84F02" w14:textId="77777777" w:rsidR="00A25754" w:rsidRPr="00D94DF2" w:rsidRDefault="00A25754" w:rsidP="00A25754">
            <w:pPr>
              <w:pStyle w:val="Normal2"/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&lt;90</w:t>
            </w:r>
          </w:p>
          <w:p w14:paraId="03EBF225" w14:textId="77777777" w:rsidR="00A25754" w:rsidRPr="00D94DF2" w:rsidRDefault="00A25754" w:rsidP="00A25754">
            <w:pPr>
              <w:pStyle w:val="Normal2"/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134</w:t>
            </w:r>
          </w:p>
        </w:tc>
        <w:tc>
          <w:tcPr>
            <w:tcW w:w="3330" w:type="dxa"/>
          </w:tcPr>
          <w:p w14:paraId="0DB53702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12</w:t>
            </w:r>
          </w:p>
          <w:p w14:paraId="7C0BF8BA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25</w:t>
            </w:r>
          </w:p>
        </w:tc>
      </w:tr>
      <w:tr w:rsidR="00A25754" w:rsidRPr="00D94DF2" w14:paraId="2C3BD6BD" w14:textId="77777777" w:rsidTr="00A25754">
        <w:tc>
          <w:tcPr>
            <w:tcW w:w="3488" w:type="dxa"/>
          </w:tcPr>
          <w:p w14:paraId="4C6A8662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135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224</w:t>
            </w:r>
          </w:p>
        </w:tc>
        <w:tc>
          <w:tcPr>
            <w:tcW w:w="3330" w:type="dxa"/>
          </w:tcPr>
          <w:p w14:paraId="2DB24CDF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50</w:t>
            </w:r>
          </w:p>
        </w:tc>
      </w:tr>
      <w:tr w:rsidR="00A25754" w:rsidRPr="00D94DF2" w14:paraId="4972A47C" w14:textId="77777777" w:rsidTr="00A25754">
        <w:tc>
          <w:tcPr>
            <w:tcW w:w="3488" w:type="dxa"/>
          </w:tcPr>
          <w:p w14:paraId="0EA9CE54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225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314</w:t>
            </w:r>
          </w:p>
        </w:tc>
        <w:tc>
          <w:tcPr>
            <w:tcW w:w="3330" w:type="dxa"/>
          </w:tcPr>
          <w:p w14:paraId="235D32CD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75</w:t>
            </w:r>
          </w:p>
        </w:tc>
      </w:tr>
      <w:tr w:rsidR="00A25754" w:rsidRPr="00D94DF2" w14:paraId="45ADC8AF" w14:textId="77777777" w:rsidTr="00A25754">
        <w:tc>
          <w:tcPr>
            <w:tcW w:w="3488" w:type="dxa"/>
          </w:tcPr>
          <w:p w14:paraId="4E1D03DC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315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404</w:t>
            </w:r>
          </w:p>
        </w:tc>
        <w:tc>
          <w:tcPr>
            <w:tcW w:w="3330" w:type="dxa"/>
          </w:tcPr>
          <w:p w14:paraId="4A29EE75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100</w:t>
            </w:r>
          </w:p>
        </w:tc>
      </w:tr>
      <w:tr w:rsidR="00A25754" w:rsidRPr="00D94DF2" w14:paraId="42D1BAF1" w14:textId="77777777" w:rsidTr="00A25754">
        <w:tc>
          <w:tcPr>
            <w:tcW w:w="3488" w:type="dxa"/>
          </w:tcPr>
          <w:p w14:paraId="36F8B4AC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405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494</w:t>
            </w:r>
          </w:p>
        </w:tc>
        <w:tc>
          <w:tcPr>
            <w:tcW w:w="3330" w:type="dxa"/>
          </w:tcPr>
          <w:p w14:paraId="7E37EED1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125</w:t>
            </w:r>
          </w:p>
        </w:tc>
      </w:tr>
      <w:tr w:rsidR="00A25754" w:rsidRPr="00D94DF2" w14:paraId="31A23274" w14:textId="77777777" w:rsidTr="00A25754">
        <w:tc>
          <w:tcPr>
            <w:tcW w:w="3488" w:type="dxa"/>
          </w:tcPr>
          <w:p w14:paraId="02FD8280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495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584</w:t>
            </w:r>
          </w:p>
        </w:tc>
        <w:tc>
          <w:tcPr>
            <w:tcW w:w="3330" w:type="dxa"/>
          </w:tcPr>
          <w:p w14:paraId="52841EE6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150</w:t>
            </w:r>
          </w:p>
        </w:tc>
      </w:tr>
      <w:tr w:rsidR="00A25754" w:rsidRPr="00D94DF2" w14:paraId="52A2879F" w14:textId="77777777" w:rsidTr="00A25754">
        <w:tc>
          <w:tcPr>
            <w:tcW w:w="3488" w:type="dxa"/>
          </w:tcPr>
          <w:p w14:paraId="36764EE7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585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674</w:t>
            </w:r>
          </w:p>
        </w:tc>
        <w:tc>
          <w:tcPr>
            <w:tcW w:w="3330" w:type="dxa"/>
          </w:tcPr>
          <w:p w14:paraId="73BDC7AF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175</w:t>
            </w:r>
          </w:p>
        </w:tc>
      </w:tr>
      <w:tr w:rsidR="00A25754" w:rsidRPr="00D94DF2" w14:paraId="1AB49D16" w14:textId="77777777" w:rsidTr="00A25754">
        <w:tc>
          <w:tcPr>
            <w:tcW w:w="3488" w:type="dxa"/>
          </w:tcPr>
          <w:p w14:paraId="4039D320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675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764</w:t>
            </w:r>
          </w:p>
        </w:tc>
        <w:tc>
          <w:tcPr>
            <w:tcW w:w="3330" w:type="dxa"/>
          </w:tcPr>
          <w:p w14:paraId="05654FD7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200</w:t>
            </w:r>
          </w:p>
        </w:tc>
      </w:tr>
      <w:tr w:rsidR="00A25754" w:rsidRPr="00D94DF2" w14:paraId="66717874" w14:textId="77777777" w:rsidTr="00A25754">
        <w:tc>
          <w:tcPr>
            <w:tcW w:w="3488" w:type="dxa"/>
          </w:tcPr>
          <w:p w14:paraId="1DFB0E64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765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854</w:t>
            </w:r>
          </w:p>
        </w:tc>
        <w:tc>
          <w:tcPr>
            <w:tcW w:w="3330" w:type="dxa"/>
          </w:tcPr>
          <w:p w14:paraId="4363CB0D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225</w:t>
            </w:r>
          </w:p>
        </w:tc>
      </w:tr>
      <w:tr w:rsidR="00A25754" w:rsidRPr="00D94DF2" w14:paraId="0A1991B6" w14:textId="77777777" w:rsidTr="00A25754">
        <w:tc>
          <w:tcPr>
            <w:tcW w:w="3488" w:type="dxa"/>
          </w:tcPr>
          <w:p w14:paraId="2A26E5F7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855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944</w:t>
            </w:r>
          </w:p>
        </w:tc>
        <w:tc>
          <w:tcPr>
            <w:tcW w:w="3330" w:type="dxa"/>
          </w:tcPr>
          <w:p w14:paraId="3150F6D2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250</w:t>
            </w:r>
          </w:p>
        </w:tc>
      </w:tr>
      <w:tr w:rsidR="00A25754" w:rsidRPr="00D94DF2" w14:paraId="167341ED" w14:textId="77777777" w:rsidTr="00A25754">
        <w:tc>
          <w:tcPr>
            <w:tcW w:w="3488" w:type="dxa"/>
          </w:tcPr>
          <w:p w14:paraId="11F7A82B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945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1034</w:t>
            </w:r>
          </w:p>
        </w:tc>
        <w:tc>
          <w:tcPr>
            <w:tcW w:w="3330" w:type="dxa"/>
          </w:tcPr>
          <w:p w14:paraId="64FB442C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275</w:t>
            </w:r>
          </w:p>
        </w:tc>
      </w:tr>
      <w:tr w:rsidR="00A25754" w:rsidRPr="00D94DF2" w14:paraId="21AC4CC3" w14:textId="77777777" w:rsidTr="00A25754">
        <w:tc>
          <w:tcPr>
            <w:tcW w:w="3488" w:type="dxa"/>
            <w:tcBorders>
              <w:bottom w:val="single" w:sz="4" w:space="0" w:color="auto"/>
            </w:tcBorders>
          </w:tcPr>
          <w:p w14:paraId="5EB4D0D3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1035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1124</w:t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59BC238A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300</w:t>
            </w:r>
          </w:p>
        </w:tc>
      </w:tr>
      <w:tr w:rsidR="00A25754" w:rsidRPr="00D94DF2" w14:paraId="0BF2EF43" w14:textId="77777777" w:rsidTr="00A25754">
        <w:tc>
          <w:tcPr>
            <w:tcW w:w="681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A099055" w14:textId="77777777" w:rsidR="00A25754" w:rsidRPr="00D94DF2" w:rsidRDefault="00A25754" w:rsidP="003F50DE">
            <w:pPr>
              <w:pStyle w:val="Normal2"/>
              <w:ind w:left="288" w:hanging="288"/>
              <w:rPr>
                <w:sz w:val="22"/>
                <w:szCs w:val="22"/>
              </w:rPr>
            </w:pPr>
            <w:r>
              <w:rPr>
                <w:sz w:val="22"/>
                <w:vertAlign w:val="superscript"/>
              </w:rPr>
              <w:t>1</w:t>
            </w:r>
            <w:r>
              <w:rPr>
                <w:sz w:val="22"/>
              </w:rPr>
              <w:tab/>
            </w:r>
            <w:r>
              <w:rPr>
                <w:sz w:val="18"/>
              </w:rPr>
              <w:t xml:space="preserve">A klinikai vizsgálatokban az oralis morfinnak ezeket a napi dózistartományait </w:t>
            </w:r>
            <w:r w:rsidR="003F50DE">
              <w:rPr>
                <w:sz w:val="18"/>
              </w:rPr>
              <w:t xml:space="preserve">használták </w:t>
            </w:r>
            <w:r>
              <w:rPr>
                <w:sz w:val="18"/>
              </w:rPr>
              <w:t>a DUROGESIC</w:t>
            </w:r>
            <w:r w:rsidR="00EB441D">
              <w:rPr>
                <w:sz w:val="18"/>
              </w:rPr>
              <w:noBreakHyphen/>
            </w:r>
            <w:r>
              <w:rPr>
                <w:sz w:val="18"/>
              </w:rPr>
              <w:t>re történő átszámítás alapjául.</w:t>
            </w:r>
            <w:r>
              <w:rPr>
                <w:sz w:val="22"/>
              </w:rPr>
              <w:t xml:space="preserve"> </w:t>
            </w:r>
          </w:p>
        </w:tc>
      </w:tr>
    </w:tbl>
    <w:p w14:paraId="01D1A3C7" w14:textId="77777777" w:rsidR="00A25754" w:rsidRPr="00CB2FD9" w:rsidRDefault="00A25754" w:rsidP="00A25754">
      <w:pPr>
        <w:tabs>
          <w:tab w:val="clear" w:pos="567"/>
        </w:tabs>
        <w:spacing w:line="240" w:lineRule="auto"/>
      </w:pPr>
    </w:p>
    <w:tbl>
      <w:tblPr>
        <w:tblW w:w="5000" w:type="pct"/>
        <w:tblLook w:val="0020" w:firstRow="1" w:lastRow="0" w:firstColumn="0" w:lastColumn="0" w:noHBand="0" w:noVBand="0"/>
      </w:tblPr>
      <w:tblGrid>
        <w:gridCol w:w="4197"/>
        <w:gridCol w:w="4874"/>
      </w:tblGrid>
      <w:tr w:rsidR="00A25754" w:rsidRPr="00D94DF2" w14:paraId="17CF3450" w14:textId="77777777" w:rsidTr="00A25754">
        <w:tc>
          <w:tcPr>
            <w:tcW w:w="7538" w:type="dxa"/>
            <w:gridSpan w:val="2"/>
            <w:tcBorders>
              <w:bottom w:val="single" w:sz="4" w:space="0" w:color="auto"/>
            </w:tcBorders>
            <w:vAlign w:val="bottom"/>
          </w:tcPr>
          <w:p w14:paraId="6284B2E0" w14:textId="77777777" w:rsidR="00A25754" w:rsidRPr="000B692F" w:rsidRDefault="00A25754" w:rsidP="00C17518">
            <w:pPr>
              <w:pStyle w:val="Normal2"/>
              <w:ind w:left="1134" w:hanging="1134"/>
              <w:jc w:val="left"/>
              <w:rPr>
                <w:b/>
                <w:sz w:val="22"/>
                <w:szCs w:val="22"/>
              </w:rPr>
            </w:pPr>
            <w:r w:rsidRPr="000B692F">
              <w:rPr>
                <w:b/>
                <w:sz w:val="22"/>
              </w:rPr>
              <w:t>3.</w:t>
            </w:r>
            <w:r w:rsidR="00A80F25" w:rsidRPr="000B692F">
              <w:rPr>
                <w:b/>
                <w:sz w:val="22"/>
              </w:rPr>
              <w:t> </w:t>
            </w:r>
            <w:r w:rsidRPr="000B692F">
              <w:rPr>
                <w:b/>
                <w:sz w:val="22"/>
              </w:rPr>
              <w:t>táblázat:</w:t>
            </w:r>
            <w:r w:rsidRPr="000B692F">
              <w:rPr>
                <w:b/>
                <w:sz w:val="22"/>
              </w:rPr>
              <w:tab/>
              <w:t xml:space="preserve">A DUROGESIC javasolt kezdő adagja a morfin napi oralis adagján alapul (a stabil és jól tolerált opioid kezelést kapó betegek esetén: az </w:t>
            </w:r>
            <w:r w:rsidR="00EB441D" w:rsidRPr="000B692F">
              <w:rPr>
                <w:b/>
                <w:sz w:val="22"/>
              </w:rPr>
              <w:t>oralis</w:t>
            </w:r>
            <w:r w:rsidRPr="000B692F">
              <w:rPr>
                <w:b/>
                <w:sz w:val="22"/>
              </w:rPr>
              <w:t xml:space="preserve"> morfinról transzdermális fentanilra történő átszámítási arány megközelítőleg 100:1)</w:t>
            </w:r>
          </w:p>
        </w:tc>
      </w:tr>
      <w:tr w:rsidR="00A25754" w:rsidRPr="00D94DF2" w14:paraId="7F8F28FB" w14:textId="77777777" w:rsidTr="00A25754"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16B1FD" w14:textId="77777777" w:rsidR="00A25754" w:rsidRPr="00D94DF2" w:rsidRDefault="00A25754" w:rsidP="00A25754">
            <w:pPr>
              <w:pStyle w:val="TableText"/>
              <w:keepLines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</w:rPr>
              <w:t>Oralis 24</w:t>
            </w:r>
            <w:r w:rsidR="00225876">
              <w:rPr>
                <w:b/>
                <w:sz w:val="22"/>
              </w:rPr>
              <w:t> órás</w:t>
            </w:r>
            <w:r>
              <w:rPr>
                <w:b/>
                <w:sz w:val="22"/>
              </w:rPr>
              <w:t xml:space="preserve"> morfin</w:t>
            </w:r>
            <w:r>
              <w:br/>
            </w:r>
            <w:r>
              <w:rPr>
                <w:b/>
                <w:sz w:val="22"/>
              </w:rPr>
              <w:t>(mg/nap)</w:t>
            </w:r>
          </w:p>
        </w:tc>
        <w:tc>
          <w:tcPr>
            <w:tcW w:w="40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B6F0FB" w14:textId="77777777" w:rsidR="00D20ED4" w:rsidRDefault="00A25754" w:rsidP="00A25754">
            <w:pPr>
              <w:pStyle w:val="TableText"/>
              <w:keepLine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DUROGESIC</w:t>
            </w:r>
          </w:p>
          <w:p w14:paraId="3D479E42" w14:textId="77777777" w:rsidR="00A25754" w:rsidRPr="00D94DF2" w:rsidRDefault="00D20ED4" w:rsidP="00A25754">
            <w:pPr>
              <w:pStyle w:val="TableText"/>
              <w:keepLine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>a</w:t>
            </w:r>
            <w:r w:rsidR="00A25754">
              <w:rPr>
                <w:b/>
                <w:sz w:val="22"/>
              </w:rPr>
              <w:t>dagolás</w:t>
            </w:r>
            <w:r w:rsidR="00A25754">
              <w:br/>
            </w:r>
            <w:r w:rsidR="00A25754">
              <w:rPr>
                <w:b/>
                <w:sz w:val="22"/>
              </w:rPr>
              <w:t>(mikrogramm/óra)</w:t>
            </w:r>
          </w:p>
        </w:tc>
      </w:tr>
      <w:tr w:rsidR="00A25754" w:rsidRPr="00D94DF2" w14:paraId="5CCBB48B" w14:textId="77777777" w:rsidTr="00A25754">
        <w:tc>
          <w:tcPr>
            <w:tcW w:w="3488" w:type="dxa"/>
            <w:tcBorders>
              <w:top w:val="single" w:sz="4" w:space="0" w:color="auto"/>
            </w:tcBorders>
          </w:tcPr>
          <w:p w14:paraId="322431AD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  <w:cs/>
              </w:rPr>
              <w:t>≤</w:t>
            </w:r>
            <w:r>
              <w:rPr>
                <w:sz w:val="22"/>
              </w:rPr>
              <w:t>44</w:t>
            </w:r>
          </w:p>
        </w:tc>
        <w:tc>
          <w:tcPr>
            <w:tcW w:w="4050" w:type="dxa"/>
            <w:tcBorders>
              <w:top w:val="single" w:sz="4" w:space="0" w:color="auto"/>
            </w:tcBorders>
          </w:tcPr>
          <w:p w14:paraId="31928381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12</w:t>
            </w:r>
          </w:p>
        </w:tc>
      </w:tr>
      <w:tr w:rsidR="00A25754" w:rsidRPr="00D94DF2" w14:paraId="48B4F9AF" w14:textId="77777777" w:rsidTr="00A25754">
        <w:tc>
          <w:tcPr>
            <w:tcW w:w="3488" w:type="dxa"/>
          </w:tcPr>
          <w:p w14:paraId="0DDA19AE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45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89</w:t>
            </w:r>
          </w:p>
        </w:tc>
        <w:tc>
          <w:tcPr>
            <w:tcW w:w="4050" w:type="dxa"/>
          </w:tcPr>
          <w:p w14:paraId="0317F23E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25</w:t>
            </w:r>
          </w:p>
        </w:tc>
      </w:tr>
      <w:tr w:rsidR="00A25754" w:rsidRPr="00D94DF2" w14:paraId="5CC22BC0" w14:textId="77777777" w:rsidTr="00A25754">
        <w:tc>
          <w:tcPr>
            <w:tcW w:w="3488" w:type="dxa"/>
          </w:tcPr>
          <w:p w14:paraId="61DB7B27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149</w:t>
            </w:r>
          </w:p>
        </w:tc>
        <w:tc>
          <w:tcPr>
            <w:tcW w:w="4050" w:type="dxa"/>
          </w:tcPr>
          <w:p w14:paraId="3C106A13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50</w:t>
            </w:r>
          </w:p>
        </w:tc>
      </w:tr>
      <w:tr w:rsidR="00A25754" w:rsidRPr="00D94DF2" w14:paraId="34011AFB" w14:textId="77777777" w:rsidTr="00A25754">
        <w:tc>
          <w:tcPr>
            <w:tcW w:w="3488" w:type="dxa"/>
          </w:tcPr>
          <w:p w14:paraId="20153E37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150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209</w:t>
            </w:r>
          </w:p>
        </w:tc>
        <w:tc>
          <w:tcPr>
            <w:tcW w:w="4050" w:type="dxa"/>
          </w:tcPr>
          <w:p w14:paraId="6A00992C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75</w:t>
            </w:r>
          </w:p>
        </w:tc>
      </w:tr>
      <w:tr w:rsidR="00A25754" w:rsidRPr="00D94DF2" w14:paraId="22A07C44" w14:textId="77777777" w:rsidTr="00A25754">
        <w:tc>
          <w:tcPr>
            <w:tcW w:w="3488" w:type="dxa"/>
          </w:tcPr>
          <w:p w14:paraId="2974DB8A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210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269</w:t>
            </w:r>
          </w:p>
        </w:tc>
        <w:tc>
          <w:tcPr>
            <w:tcW w:w="4050" w:type="dxa"/>
          </w:tcPr>
          <w:p w14:paraId="0316F422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100</w:t>
            </w:r>
          </w:p>
        </w:tc>
      </w:tr>
      <w:tr w:rsidR="00A25754" w:rsidRPr="00D94DF2" w14:paraId="1D5784B4" w14:textId="77777777" w:rsidTr="00A25754">
        <w:tc>
          <w:tcPr>
            <w:tcW w:w="3488" w:type="dxa"/>
          </w:tcPr>
          <w:p w14:paraId="01CC143A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270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329</w:t>
            </w:r>
          </w:p>
        </w:tc>
        <w:tc>
          <w:tcPr>
            <w:tcW w:w="4050" w:type="dxa"/>
          </w:tcPr>
          <w:p w14:paraId="0D309F2F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125</w:t>
            </w:r>
          </w:p>
        </w:tc>
      </w:tr>
      <w:tr w:rsidR="00A25754" w:rsidRPr="00D94DF2" w14:paraId="647D9F16" w14:textId="77777777" w:rsidTr="00A25754">
        <w:tc>
          <w:tcPr>
            <w:tcW w:w="3488" w:type="dxa"/>
          </w:tcPr>
          <w:p w14:paraId="418AA175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330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389</w:t>
            </w:r>
          </w:p>
        </w:tc>
        <w:tc>
          <w:tcPr>
            <w:tcW w:w="4050" w:type="dxa"/>
          </w:tcPr>
          <w:p w14:paraId="7E60D94F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150</w:t>
            </w:r>
          </w:p>
        </w:tc>
      </w:tr>
      <w:tr w:rsidR="00A25754" w:rsidRPr="00D94DF2" w14:paraId="4A597C70" w14:textId="77777777" w:rsidTr="00A25754">
        <w:tc>
          <w:tcPr>
            <w:tcW w:w="3488" w:type="dxa"/>
          </w:tcPr>
          <w:p w14:paraId="424D04B4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390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449</w:t>
            </w:r>
          </w:p>
        </w:tc>
        <w:tc>
          <w:tcPr>
            <w:tcW w:w="4050" w:type="dxa"/>
          </w:tcPr>
          <w:p w14:paraId="1FBA54F2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175</w:t>
            </w:r>
          </w:p>
        </w:tc>
      </w:tr>
      <w:tr w:rsidR="00A25754" w:rsidRPr="00D94DF2" w14:paraId="43EB2764" w14:textId="77777777" w:rsidTr="00A25754">
        <w:tc>
          <w:tcPr>
            <w:tcW w:w="3488" w:type="dxa"/>
          </w:tcPr>
          <w:p w14:paraId="6607BB30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450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509</w:t>
            </w:r>
          </w:p>
        </w:tc>
        <w:tc>
          <w:tcPr>
            <w:tcW w:w="4050" w:type="dxa"/>
          </w:tcPr>
          <w:p w14:paraId="51A50CDC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200</w:t>
            </w:r>
          </w:p>
        </w:tc>
      </w:tr>
      <w:tr w:rsidR="00A25754" w:rsidRPr="00D94DF2" w14:paraId="28E7D72D" w14:textId="77777777" w:rsidTr="00A25754">
        <w:tc>
          <w:tcPr>
            <w:tcW w:w="3488" w:type="dxa"/>
          </w:tcPr>
          <w:p w14:paraId="2F530E81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510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569</w:t>
            </w:r>
          </w:p>
        </w:tc>
        <w:tc>
          <w:tcPr>
            <w:tcW w:w="4050" w:type="dxa"/>
          </w:tcPr>
          <w:p w14:paraId="20604946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225</w:t>
            </w:r>
          </w:p>
        </w:tc>
      </w:tr>
      <w:tr w:rsidR="00A25754" w:rsidRPr="00D94DF2" w14:paraId="2F642329" w14:textId="77777777" w:rsidTr="00A25754">
        <w:tc>
          <w:tcPr>
            <w:tcW w:w="3488" w:type="dxa"/>
          </w:tcPr>
          <w:p w14:paraId="61369D88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570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629</w:t>
            </w:r>
          </w:p>
        </w:tc>
        <w:tc>
          <w:tcPr>
            <w:tcW w:w="4050" w:type="dxa"/>
          </w:tcPr>
          <w:p w14:paraId="07464F7D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250</w:t>
            </w:r>
          </w:p>
        </w:tc>
      </w:tr>
      <w:tr w:rsidR="00A25754" w:rsidRPr="00D94DF2" w14:paraId="47C5907B" w14:textId="77777777" w:rsidTr="00A25754">
        <w:tc>
          <w:tcPr>
            <w:tcW w:w="3488" w:type="dxa"/>
          </w:tcPr>
          <w:p w14:paraId="2FA5B0F1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630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689</w:t>
            </w:r>
          </w:p>
        </w:tc>
        <w:tc>
          <w:tcPr>
            <w:tcW w:w="4050" w:type="dxa"/>
          </w:tcPr>
          <w:p w14:paraId="0281C740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275</w:t>
            </w:r>
          </w:p>
        </w:tc>
      </w:tr>
      <w:tr w:rsidR="00A25754" w:rsidRPr="00D94DF2" w14:paraId="56E50256" w14:textId="77777777" w:rsidTr="00A25754">
        <w:tc>
          <w:tcPr>
            <w:tcW w:w="3488" w:type="dxa"/>
            <w:tcBorders>
              <w:bottom w:val="single" w:sz="4" w:space="0" w:color="auto"/>
            </w:tcBorders>
          </w:tcPr>
          <w:p w14:paraId="01449B4D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690</w:t>
            </w:r>
            <w:r w:rsidR="00EB441D">
              <w:rPr>
                <w:sz w:val="22"/>
              </w:rPr>
              <w:noBreakHyphen/>
            </w:r>
            <w:r>
              <w:rPr>
                <w:sz w:val="22"/>
              </w:rPr>
              <w:t>749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40069092" w14:textId="77777777" w:rsidR="00A25754" w:rsidRPr="00D94DF2" w:rsidRDefault="00A25754" w:rsidP="00A25754">
            <w:pPr>
              <w:pStyle w:val="Normal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300</w:t>
            </w:r>
          </w:p>
        </w:tc>
      </w:tr>
    </w:tbl>
    <w:p w14:paraId="2A97859E" w14:textId="77777777" w:rsidR="00A25754" w:rsidRPr="005D64FB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11EDD937" w14:textId="77777777" w:rsidR="00A25754" w:rsidRPr="005D64FB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A DUROGESIC maximális fájdalomcsillapító hatásának kezdeti értékelése nem végezhető el a tapasz 24</w:t>
      </w:r>
      <w:r w:rsidR="00A80F25">
        <w:rPr>
          <w:sz w:val="22"/>
        </w:rPr>
        <w:t> </w:t>
      </w:r>
      <w:r>
        <w:rPr>
          <w:sz w:val="22"/>
        </w:rPr>
        <w:t xml:space="preserve">órán át tartó </w:t>
      </w:r>
      <w:r w:rsidR="003F50DE">
        <w:rPr>
          <w:sz w:val="22"/>
        </w:rPr>
        <w:t>viselése előtt</w:t>
      </w:r>
      <w:r>
        <w:rPr>
          <w:sz w:val="22"/>
        </w:rPr>
        <w:t xml:space="preserve">. Ennek a </w:t>
      </w:r>
      <w:r w:rsidR="00053857">
        <w:rPr>
          <w:sz w:val="22"/>
        </w:rPr>
        <w:t>késedelemnek</w:t>
      </w:r>
      <w:r>
        <w:rPr>
          <w:sz w:val="22"/>
        </w:rPr>
        <w:t xml:space="preserve"> az az oka, hogy a szérum fentanil</w:t>
      </w:r>
      <w:r w:rsidR="00EB441D">
        <w:rPr>
          <w:sz w:val="22"/>
        </w:rPr>
        <w:noBreakHyphen/>
      </w:r>
      <w:r>
        <w:rPr>
          <w:sz w:val="22"/>
        </w:rPr>
        <w:t>koncentrációja az első tapasz felhelyezését követő 24</w:t>
      </w:r>
      <w:r w:rsidR="00A80F25">
        <w:rPr>
          <w:sz w:val="22"/>
        </w:rPr>
        <w:t> </w:t>
      </w:r>
      <w:r>
        <w:rPr>
          <w:sz w:val="22"/>
        </w:rPr>
        <w:t>órában fokozatosan emelkedik.</w:t>
      </w:r>
    </w:p>
    <w:p w14:paraId="6CB2CC26" w14:textId="77777777" w:rsidR="00A25754" w:rsidRPr="005D64FB" w:rsidRDefault="00A25754" w:rsidP="00A25754">
      <w:pPr>
        <w:pStyle w:val="Normal2"/>
        <w:rPr>
          <w:sz w:val="22"/>
          <w:szCs w:val="22"/>
        </w:rPr>
      </w:pPr>
    </w:p>
    <w:p w14:paraId="224EBE59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</w:rPr>
      </w:pPr>
      <w:r>
        <w:t>Ezért az első dózis alkalmazása után a korábban alkalmazott fájdalomcsillapító kezelést fokozatosan kell abbahagyni, amíg a DUROGESIC el nem éri az analgetikus hatást.</w:t>
      </w:r>
    </w:p>
    <w:p w14:paraId="41E92F94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</w:rPr>
      </w:pPr>
    </w:p>
    <w:p w14:paraId="29D3130A" w14:textId="77777777" w:rsidR="00A25754" w:rsidRPr="00EC27BE" w:rsidRDefault="00A25754" w:rsidP="00A25754">
      <w:pPr>
        <w:pStyle w:val="Normal2"/>
        <w:jc w:val="left"/>
        <w:rPr>
          <w:i/>
          <w:sz w:val="22"/>
          <w:szCs w:val="22"/>
          <w:u w:val="single"/>
        </w:rPr>
      </w:pPr>
      <w:r>
        <w:rPr>
          <w:i/>
          <w:sz w:val="22"/>
          <w:u w:val="single"/>
        </w:rPr>
        <w:t>Dózisbeállítás és fenntartó kezelés</w:t>
      </w:r>
    </w:p>
    <w:p w14:paraId="218E2B0B" w14:textId="77777777" w:rsidR="00A25754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A DUROGESIC tapaszt 72</w:t>
      </w:r>
      <w:r w:rsidR="00D20ED4">
        <w:rPr>
          <w:sz w:val="22"/>
        </w:rPr>
        <w:t> </w:t>
      </w:r>
      <w:r>
        <w:rPr>
          <w:sz w:val="22"/>
        </w:rPr>
        <w:t>óránként cserélni kell.</w:t>
      </w:r>
    </w:p>
    <w:p w14:paraId="6616189D" w14:textId="77777777" w:rsidR="00A25754" w:rsidRDefault="00A25754" w:rsidP="00A25754">
      <w:pPr>
        <w:pStyle w:val="Normal2"/>
        <w:jc w:val="left"/>
        <w:rPr>
          <w:sz w:val="22"/>
          <w:szCs w:val="22"/>
        </w:rPr>
      </w:pPr>
    </w:p>
    <w:p w14:paraId="78BB3425" w14:textId="77777777" w:rsidR="00A25754" w:rsidRPr="00225876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 xml:space="preserve">A dózist a kiegészítő </w:t>
      </w:r>
      <w:r w:rsidRPr="00225876">
        <w:rPr>
          <w:sz w:val="22"/>
          <w:szCs w:val="22"/>
        </w:rPr>
        <w:t>fájdalomcsillapítók átlagos napi alkalmazása alapján egyénileg kell beállítani, amíg az analgetikus hatás és a tolerancia közti egyensúly elérésre nem kerül. A dózisbeállításnak rendszerint 12</w:t>
      </w:r>
      <w:r w:rsidR="00EB441D" w:rsidRPr="00225876">
        <w:rPr>
          <w:sz w:val="22"/>
          <w:szCs w:val="22"/>
        </w:rPr>
        <w:t> mikro</w:t>
      </w:r>
      <w:r w:rsidRPr="00225876">
        <w:rPr>
          <w:sz w:val="22"/>
          <w:szCs w:val="22"/>
        </w:rPr>
        <w:t>gramm/óra vagy 25</w:t>
      </w:r>
      <w:r w:rsidR="00EB441D" w:rsidRPr="00225876">
        <w:rPr>
          <w:sz w:val="22"/>
          <w:szCs w:val="22"/>
        </w:rPr>
        <w:t> mikro</w:t>
      </w:r>
      <w:r w:rsidRPr="00225876">
        <w:rPr>
          <w:sz w:val="22"/>
          <w:szCs w:val="22"/>
        </w:rPr>
        <w:t>gramm/óra növekedési ütemben kell történnie, bár a kiegészítő analgetikum</w:t>
      </w:r>
      <w:r w:rsidR="00B2334C">
        <w:rPr>
          <w:sz w:val="22"/>
          <w:szCs w:val="22"/>
        </w:rPr>
        <w:t>-</w:t>
      </w:r>
      <w:r w:rsidRPr="00225876">
        <w:rPr>
          <w:sz w:val="22"/>
          <w:szCs w:val="22"/>
        </w:rPr>
        <w:t>igényt (</w:t>
      </w:r>
      <w:r w:rsidRPr="00225876">
        <w:rPr>
          <w:i/>
          <w:sz w:val="22"/>
          <w:szCs w:val="22"/>
        </w:rPr>
        <w:t>per os</w:t>
      </w:r>
      <w:r w:rsidRPr="00225876">
        <w:rPr>
          <w:sz w:val="22"/>
          <w:szCs w:val="22"/>
        </w:rPr>
        <w:t xml:space="preserve"> 45/90</w:t>
      </w:r>
      <w:r w:rsidR="00EB441D" w:rsidRPr="00225876">
        <w:rPr>
          <w:sz w:val="22"/>
          <w:szCs w:val="22"/>
        </w:rPr>
        <w:t> mg</w:t>
      </w:r>
      <w:r w:rsidRPr="00225876">
        <w:rPr>
          <w:sz w:val="22"/>
          <w:szCs w:val="22"/>
        </w:rPr>
        <w:t xml:space="preserve">/nap morfin </w:t>
      </w:r>
      <w:r w:rsidRPr="00225876">
        <w:rPr>
          <w:sz w:val="22"/>
          <w:szCs w:val="22"/>
        </w:rPr>
        <w:sym w:font="Symbol" w:char="F0BB"/>
      </w:r>
      <w:r w:rsidRPr="00225876">
        <w:rPr>
          <w:sz w:val="22"/>
          <w:szCs w:val="22"/>
        </w:rPr>
        <w:t xml:space="preserve"> 12/25</w:t>
      </w:r>
      <w:r w:rsidR="00EB441D" w:rsidRPr="00225876">
        <w:rPr>
          <w:sz w:val="22"/>
          <w:szCs w:val="22"/>
        </w:rPr>
        <w:t> mikro</w:t>
      </w:r>
      <w:r w:rsidRPr="00225876">
        <w:rPr>
          <w:sz w:val="22"/>
          <w:szCs w:val="22"/>
        </w:rPr>
        <w:t>gramm/óra DUROGESIC) és a beteg fájdalom</w:t>
      </w:r>
      <w:r w:rsidR="00EB441D" w:rsidRPr="00225876">
        <w:rPr>
          <w:sz w:val="22"/>
          <w:szCs w:val="22"/>
        </w:rPr>
        <w:noBreakHyphen/>
      </w:r>
      <w:r w:rsidRPr="00225876">
        <w:rPr>
          <w:sz w:val="22"/>
          <w:szCs w:val="22"/>
        </w:rPr>
        <w:t>státus</w:t>
      </w:r>
      <w:r w:rsidR="002B64F9">
        <w:rPr>
          <w:sz w:val="22"/>
          <w:szCs w:val="22"/>
        </w:rPr>
        <w:t>z</w:t>
      </w:r>
      <w:r w:rsidRPr="00225876">
        <w:rPr>
          <w:sz w:val="22"/>
          <w:szCs w:val="22"/>
        </w:rPr>
        <w:t>át egyaránt figyelembe kell venni. Egy dózisemelés után akár 6</w:t>
      </w:r>
      <w:r w:rsidR="00D20ED4">
        <w:rPr>
          <w:sz w:val="22"/>
          <w:szCs w:val="22"/>
        </w:rPr>
        <w:t> </w:t>
      </w:r>
      <w:r w:rsidRPr="00225876">
        <w:rPr>
          <w:sz w:val="22"/>
          <w:szCs w:val="22"/>
        </w:rPr>
        <w:t xml:space="preserve">napig is tarthat, amíg a beteg eléri az új dózisszint melletti </w:t>
      </w:r>
      <w:r w:rsidR="00835073">
        <w:rPr>
          <w:sz w:val="22"/>
          <w:szCs w:val="22"/>
        </w:rPr>
        <w:t xml:space="preserve">dinamikus </w:t>
      </w:r>
      <w:r w:rsidRPr="00225876">
        <w:rPr>
          <w:sz w:val="22"/>
          <w:szCs w:val="22"/>
        </w:rPr>
        <w:t>egyensúlyi állapotot. Ezért egy dózisemelés után a betegeknek kétszer 72</w:t>
      </w:r>
      <w:r w:rsidR="00D20ED4">
        <w:rPr>
          <w:sz w:val="22"/>
          <w:szCs w:val="22"/>
        </w:rPr>
        <w:t> </w:t>
      </w:r>
      <w:r w:rsidRPr="00225876">
        <w:rPr>
          <w:sz w:val="22"/>
          <w:szCs w:val="22"/>
        </w:rPr>
        <w:t>órán keresztül viselniük kell a magasabb dózisú tapaszt, mielőtt a dózis bármilyen további emelése elvégezhető lenne.</w:t>
      </w:r>
    </w:p>
    <w:p w14:paraId="40CC6BF9" w14:textId="77777777" w:rsidR="00A25754" w:rsidRPr="00225876" w:rsidRDefault="00A25754" w:rsidP="00A25754">
      <w:pPr>
        <w:pStyle w:val="Normal2"/>
        <w:jc w:val="left"/>
        <w:rPr>
          <w:sz w:val="22"/>
          <w:szCs w:val="22"/>
        </w:rPr>
      </w:pPr>
    </w:p>
    <w:p w14:paraId="7D570519" w14:textId="77777777" w:rsidR="00A25754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A 100</w:t>
      </w:r>
      <w:r w:rsidR="00EB441D">
        <w:rPr>
          <w:sz w:val="22"/>
        </w:rPr>
        <w:t> mikro</w:t>
      </w:r>
      <w:r>
        <w:rPr>
          <w:sz w:val="22"/>
        </w:rPr>
        <w:t xml:space="preserve">gramm/óra feletti adagokhoz egynél több DUROGESIC tapasz használható. </w:t>
      </w:r>
      <w:r>
        <w:rPr>
          <w:sz w:val="22"/>
          <w:cs/>
        </w:rPr>
        <w:t>„</w:t>
      </w:r>
      <w:r>
        <w:rPr>
          <w:sz w:val="22"/>
        </w:rPr>
        <w:t>Áttöréses</w:t>
      </w:r>
      <w:r>
        <w:rPr>
          <w:sz w:val="22"/>
          <w:cs/>
        </w:rPr>
        <w:t xml:space="preserve">” </w:t>
      </w:r>
      <w:r>
        <w:rPr>
          <w:sz w:val="22"/>
        </w:rPr>
        <w:t>fájdalom esetén a betegeknek időnként kiegészítő, rövid hatású analgetikum adására lehet szükségük. A betegek egy részénél további vagy alternatív opioid</w:t>
      </w:r>
      <w:r w:rsidR="00B2334C">
        <w:rPr>
          <w:sz w:val="22"/>
        </w:rPr>
        <w:t>-</w:t>
      </w:r>
      <w:r>
        <w:rPr>
          <w:sz w:val="22"/>
        </w:rPr>
        <w:t>alkalmazási módszerekre lehet szükség, ha a DUROGESIC adagja meghaladja a 300</w:t>
      </w:r>
      <w:r w:rsidR="00EB441D">
        <w:rPr>
          <w:sz w:val="22"/>
        </w:rPr>
        <w:t> mikro</w:t>
      </w:r>
      <w:r>
        <w:rPr>
          <w:sz w:val="22"/>
        </w:rPr>
        <w:t>gramm/órát.</w:t>
      </w:r>
    </w:p>
    <w:p w14:paraId="0E6B8187" w14:textId="77777777" w:rsidR="00A25754" w:rsidRDefault="00A25754" w:rsidP="00A25754">
      <w:pPr>
        <w:pStyle w:val="Normal2"/>
        <w:jc w:val="left"/>
        <w:rPr>
          <w:sz w:val="22"/>
          <w:szCs w:val="22"/>
        </w:rPr>
      </w:pPr>
    </w:p>
    <w:p w14:paraId="4D54CBD1" w14:textId="77777777" w:rsidR="007D1B10" w:rsidRDefault="007D1B10" w:rsidP="00A25754">
      <w:pPr>
        <w:pStyle w:val="Normal2"/>
        <w:jc w:val="left"/>
        <w:rPr>
          <w:sz w:val="22"/>
          <w:szCs w:val="22"/>
        </w:rPr>
      </w:pPr>
      <w:r w:rsidRPr="007D1B10">
        <w:rPr>
          <w:sz w:val="22"/>
          <w:szCs w:val="22"/>
        </w:rPr>
        <w:t>Megfelelő fájdalom</w:t>
      </w:r>
      <w:r w:rsidR="00644391">
        <w:rPr>
          <w:sz w:val="22"/>
          <w:szCs w:val="22"/>
        </w:rPr>
        <w:t>-kontroll</w:t>
      </w:r>
      <w:r w:rsidRPr="007D1B10">
        <w:rPr>
          <w:sz w:val="22"/>
          <w:szCs w:val="22"/>
        </w:rPr>
        <w:t xml:space="preserve"> hiányában mérlegelni kell a </w:t>
      </w:r>
      <w:r w:rsidRPr="00192C66">
        <w:rPr>
          <w:sz w:val="22"/>
          <w:szCs w:val="22"/>
        </w:rPr>
        <w:t>hyperalgesia</w:t>
      </w:r>
      <w:r w:rsidRPr="007D1B10">
        <w:rPr>
          <w:sz w:val="22"/>
          <w:szCs w:val="22"/>
        </w:rPr>
        <w:t xml:space="preserve">, a tolerancia és az alapbetegség </w:t>
      </w:r>
      <w:r w:rsidR="00644391">
        <w:rPr>
          <w:sz w:val="22"/>
          <w:szCs w:val="22"/>
        </w:rPr>
        <w:t>progressziój</w:t>
      </w:r>
      <w:r w:rsidRPr="007D1B10">
        <w:rPr>
          <w:sz w:val="22"/>
          <w:szCs w:val="22"/>
        </w:rPr>
        <w:t>ának lehetőségét</w:t>
      </w:r>
      <w:r>
        <w:rPr>
          <w:sz w:val="22"/>
          <w:szCs w:val="22"/>
        </w:rPr>
        <w:t xml:space="preserve"> (lásd 4.4 pont).</w:t>
      </w:r>
    </w:p>
    <w:p w14:paraId="491BFE79" w14:textId="77777777" w:rsidR="007D1B10" w:rsidRDefault="007D1B10" w:rsidP="00A25754">
      <w:pPr>
        <w:pStyle w:val="Normal2"/>
        <w:jc w:val="left"/>
        <w:rPr>
          <w:sz w:val="22"/>
          <w:szCs w:val="22"/>
        </w:rPr>
      </w:pPr>
    </w:p>
    <w:p w14:paraId="51FE30DD" w14:textId="77777777" w:rsidR="00A25754" w:rsidRPr="008D6922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Ha a fájdalomcsillapító hatás csak az első alkalmazás alatt nem elegendő, akkor a DUROGESIC tapasz 48</w:t>
      </w:r>
      <w:r w:rsidR="00225876">
        <w:rPr>
          <w:sz w:val="22"/>
        </w:rPr>
        <w:t> óra</w:t>
      </w:r>
      <w:r>
        <w:rPr>
          <w:sz w:val="22"/>
        </w:rPr>
        <w:t xml:space="preserve"> után egy ugyanolyan dózisú tapasszal lecserélhető, vagy a dózis 72</w:t>
      </w:r>
      <w:r w:rsidR="00225876">
        <w:rPr>
          <w:sz w:val="22"/>
        </w:rPr>
        <w:t> óra</w:t>
      </w:r>
      <w:r>
        <w:rPr>
          <w:sz w:val="22"/>
        </w:rPr>
        <w:t xml:space="preserve"> után megemelhető.</w:t>
      </w:r>
    </w:p>
    <w:p w14:paraId="1FA55E03" w14:textId="77777777" w:rsidR="00A25754" w:rsidRPr="008D6922" w:rsidRDefault="00A25754" w:rsidP="00A25754">
      <w:pPr>
        <w:pStyle w:val="Normal2"/>
        <w:jc w:val="left"/>
        <w:rPr>
          <w:sz w:val="22"/>
          <w:szCs w:val="22"/>
        </w:rPr>
      </w:pPr>
    </w:p>
    <w:p w14:paraId="261456C2" w14:textId="77777777" w:rsidR="00A25754" w:rsidRDefault="00A25754" w:rsidP="00A25754">
      <w:r>
        <w:t>Ha a tapaszt 72</w:t>
      </w:r>
      <w:r w:rsidR="00D20ED4">
        <w:t> </w:t>
      </w:r>
      <w:r>
        <w:t>óránál hamarabb le kell cserélni (például a tapasz leesik), akkor egy ugyanolyan hatáserősségű tapaszt kell egy másik bőrterületre felhelyezni. Ez emelkedett szérumkoncentrációkat eredményezhet (lásd 5.2</w:t>
      </w:r>
      <w:r w:rsidR="00456B89">
        <w:t> pont</w:t>
      </w:r>
      <w:r>
        <w:t>), és a beteget szorosan monitorozni kell.</w:t>
      </w:r>
    </w:p>
    <w:p w14:paraId="755116C2" w14:textId="77777777" w:rsidR="00F81A00" w:rsidRDefault="00F81A00" w:rsidP="00A25754"/>
    <w:p w14:paraId="42E2F8DA" w14:textId="77777777" w:rsidR="00F81A00" w:rsidRPr="009F187A" w:rsidRDefault="00F81A00" w:rsidP="00F81A00">
      <w:pPr>
        <w:rPr>
          <w:i/>
          <w:iCs/>
        </w:rPr>
      </w:pPr>
      <w:r w:rsidRPr="009F187A">
        <w:rPr>
          <w:i/>
          <w:iCs/>
        </w:rPr>
        <w:t>A kezelés időtartama és céljai</w:t>
      </w:r>
    </w:p>
    <w:p w14:paraId="18719E16" w14:textId="77777777" w:rsidR="00F81A00" w:rsidRDefault="00F81A00" w:rsidP="00F81A00">
      <w:r>
        <w:t>A DUROGESIC-kezelés megkezdése előtt a beteggel egyeztetni kell a kezelési stratégiát, amely magában foglalja a kezelés időtartamát és céljait, valamint a kezelés leállításának tervét, a fájdalomcsillapításról szóló ajánlásoknak megfelelően. A kezelés során az orvosnak és a betegnek rendszeresen kapcsolatot kell tartania, hogy felmérjék a kezelés folytatásának szükségességét, mérlegeljék a kezelés leállítását, és szükség esetén módosítsák az adagolást. Ha a fájdalomcsillapító hatás nem kielégítő, mérlegelni kell a hyperalgesia,</w:t>
      </w:r>
      <w:r w:rsidRPr="00F81A00">
        <w:t xml:space="preserve"> a tolerancia és az alapbetegség progressziójának lehetőségét (lásd 4.4</w:t>
      </w:r>
      <w:r>
        <w:t> </w:t>
      </w:r>
      <w:r w:rsidRPr="00F81A00">
        <w:t>pont).</w:t>
      </w:r>
    </w:p>
    <w:p w14:paraId="59CA7221" w14:textId="77777777" w:rsidR="00A25754" w:rsidRDefault="00A25754" w:rsidP="00A25754">
      <w:pPr>
        <w:pStyle w:val="Normal2"/>
        <w:jc w:val="left"/>
      </w:pPr>
    </w:p>
    <w:p w14:paraId="46894869" w14:textId="77777777" w:rsidR="00A25754" w:rsidRPr="008A4BBD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u w:val="single"/>
        </w:rPr>
      </w:pPr>
      <w:r>
        <w:rPr>
          <w:i/>
          <w:u w:val="single"/>
        </w:rPr>
        <w:t>A DUROGESIC adagolás megszakítása</w:t>
      </w:r>
    </w:p>
    <w:p w14:paraId="1BABB79E" w14:textId="77777777" w:rsidR="00A25754" w:rsidRPr="008D6922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Ha a DUROGESIC</w:t>
      </w:r>
      <w:r w:rsidR="00595D8D">
        <w:t>-</w:t>
      </w:r>
      <w:r>
        <w:t>adagolás megszakítása szükséges, a más opioiddal történő helyettesítésnek fokozatosan kell történnie, alacsony dózissal kezdve, és azt lassan emelve.</w:t>
      </w:r>
      <w:r w:rsidR="00225876">
        <w:t xml:space="preserve"> </w:t>
      </w:r>
      <w:r>
        <w:t>Ez azért szükséges, mert a fentanil</w:t>
      </w:r>
      <w:r w:rsidR="00EB441D">
        <w:noBreakHyphen/>
      </w:r>
      <w:r>
        <w:t>koncentráció a DUROGESIC eltávolítása után fokozatosan csökken. 20</w:t>
      </w:r>
      <w:r w:rsidR="00D20ED4">
        <w:t> </w:t>
      </w:r>
      <w:r>
        <w:t>órát vagy még többet is igénybe vehet, amíg a fentanil szérumkoncentrációja 50%</w:t>
      </w:r>
      <w:r w:rsidR="00EB441D">
        <w:noBreakHyphen/>
      </w:r>
      <w:r>
        <w:t>ra csökken.</w:t>
      </w:r>
      <w:r w:rsidR="00225876">
        <w:t xml:space="preserve"> </w:t>
      </w:r>
      <w:r>
        <w:t>Általánosságban a megvonási tünetek elkerülése érdekében az opioid</w:t>
      </w:r>
      <w:r w:rsidR="00EB441D">
        <w:noBreakHyphen/>
      </w:r>
      <w:r>
        <w:t xml:space="preserve">analgesiát fokozatosan kell megszüntetni (lásd </w:t>
      </w:r>
      <w:r w:rsidR="007D1B10">
        <w:t xml:space="preserve">4.4 és </w:t>
      </w:r>
      <w:r>
        <w:t>4.8</w:t>
      </w:r>
      <w:r w:rsidR="00456B89">
        <w:t> pont</w:t>
      </w:r>
      <w:r>
        <w:t>).</w:t>
      </w:r>
      <w:r w:rsidR="007D1B10">
        <w:t xml:space="preserve"> </w:t>
      </w:r>
      <w:r w:rsidR="007D1B10" w:rsidRPr="007D1B10">
        <w:t xml:space="preserve">Beszámoltak arról, hogy az opioidoktól fizikailag függő betegeknél az opioid fájdalomcsillapítók gyors </w:t>
      </w:r>
      <w:r w:rsidR="007D1B10">
        <w:t>leállítása</w:t>
      </w:r>
      <w:r w:rsidR="007D1B10" w:rsidRPr="007D1B10">
        <w:t xml:space="preserve"> súlyos </w:t>
      </w:r>
      <w:r w:rsidR="0036670D">
        <w:t>meg</w:t>
      </w:r>
      <w:r w:rsidR="007D1B10" w:rsidRPr="007D1B10">
        <w:t>vonási tüneteket és kontrollálatlan fájdalmat eredményezett.</w:t>
      </w:r>
      <w:r w:rsidR="00824929">
        <w:t xml:space="preserve"> </w:t>
      </w:r>
      <w:r w:rsidR="00824929" w:rsidRPr="00824929">
        <w:t>A csökken</w:t>
      </w:r>
      <w:r w:rsidR="0036670D">
        <w:t>t</w:t>
      </w:r>
      <w:r w:rsidR="00824929" w:rsidRPr="00824929">
        <w:t>és</w:t>
      </w:r>
      <w:r w:rsidR="00F0006E">
        <w:t>n</w:t>
      </w:r>
      <w:r w:rsidR="0036670D">
        <w:t>él</w:t>
      </w:r>
      <w:r w:rsidR="00824929" w:rsidRPr="00824929">
        <w:t xml:space="preserve"> a beteg egyéni adagjá</w:t>
      </w:r>
      <w:r w:rsidR="0036670D">
        <w:t>t</w:t>
      </w:r>
      <w:r w:rsidR="00824929" w:rsidRPr="00824929">
        <w:t>, a kezelés időtartamá</w:t>
      </w:r>
      <w:r w:rsidR="0036670D">
        <w:t>t</w:t>
      </w:r>
      <w:r w:rsidR="00824929" w:rsidRPr="00824929">
        <w:t xml:space="preserve"> és a fájdalomra és </w:t>
      </w:r>
      <w:r w:rsidR="0036670D">
        <w:t>meg</w:t>
      </w:r>
      <w:r w:rsidR="00824929" w:rsidRPr="00824929">
        <w:t>vonási tünetekre adott válaszá</w:t>
      </w:r>
      <w:r w:rsidR="0036670D">
        <w:t>t</w:t>
      </w:r>
      <w:r w:rsidR="00824929" w:rsidRPr="00824929">
        <w:t xml:space="preserve"> kell alap</w:t>
      </w:r>
      <w:r w:rsidR="00F0006E">
        <w:t>ul</w:t>
      </w:r>
      <w:r w:rsidR="0036670D">
        <w:t xml:space="preserve"> venni</w:t>
      </w:r>
      <w:r w:rsidR="00824929" w:rsidRPr="00824929">
        <w:t xml:space="preserve">. A hosszú távú kezelésben részesülő betegeknél fokozatosabb </w:t>
      </w:r>
      <w:r w:rsidR="00F0006E">
        <w:t>csökkentésre</w:t>
      </w:r>
      <w:r w:rsidR="00824929" w:rsidRPr="00824929">
        <w:t xml:space="preserve"> lehet szükség.</w:t>
      </w:r>
      <w:r w:rsidR="00F0006E">
        <w:t xml:space="preserve"> </w:t>
      </w:r>
      <w:r w:rsidR="00F0006E" w:rsidRPr="00F0006E">
        <w:t xml:space="preserve">Rövid ideig kezelt betegeknél </w:t>
      </w:r>
      <w:r w:rsidR="00AC5F1D">
        <w:t xml:space="preserve">megfontolható egy </w:t>
      </w:r>
      <w:r w:rsidR="00F0006E" w:rsidRPr="00F0006E">
        <w:t xml:space="preserve">gyorsabb csökkentési </w:t>
      </w:r>
      <w:r w:rsidR="0036670D">
        <w:t>rend</w:t>
      </w:r>
      <w:r w:rsidR="00F0006E">
        <w:t>.</w:t>
      </w:r>
    </w:p>
    <w:p w14:paraId="25AFE937" w14:textId="77777777" w:rsidR="00A25754" w:rsidRPr="008D6922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68929B06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Egyes betegeknél opioid</w:t>
      </w:r>
      <w:r w:rsidR="00EB441D">
        <w:noBreakHyphen/>
      </w:r>
      <w:r>
        <w:t>megvonási tünetek jelentkezhetnek az átállítás vagy az adag módosítása után.</w:t>
      </w:r>
    </w:p>
    <w:p w14:paraId="5B523049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B134B10" w14:textId="77777777" w:rsidR="00A25754" w:rsidRPr="008D6922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Az új fájdalomcsillapító adagjának túlbecslése és a túladagolás lehetőségének elkerülése érdekében az 1., 2. és 3.</w:t>
      </w:r>
      <w:r w:rsidR="00D709B3">
        <w:t> </w:t>
      </w:r>
      <w:r>
        <w:t>táblázatot kizárólag a más opioidról a DUROGESIC</w:t>
      </w:r>
      <w:r w:rsidR="00EB441D">
        <w:noBreakHyphen/>
      </w:r>
      <w:r>
        <w:t>re történő átállításhoz szabad használni, a DUROGESIC</w:t>
      </w:r>
      <w:r w:rsidR="00EB441D">
        <w:noBreakHyphen/>
      </w:r>
      <w:r>
        <w:t>ről más kezelésekre történő átállításhoz nem.</w:t>
      </w:r>
    </w:p>
    <w:p w14:paraId="2E33B041" w14:textId="77777777" w:rsidR="00A25754" w:rsidRPr="008D6922" w:rsidRDefault="00A25754" w:rsidP="00A25754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u w:val="single"/>
        </w:rPr>
      </w:pPr>
    </w:p>
    <w:p w14:paraId="0FFD88CE" w14:textId="77777777" w:rsidR="00A25754" w:rsidRPr="008D6922" w:rsidRDefault="005D3A06" w:rsidP="00A25754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u w:val="single"/>
        </w:rPr>
      </w:pPr>
      <w:r>
        <w:rPr>
          <w:i/>
          <w:u w:val="single"/>
        </w:rPr>
        <w:t>Különleges betegcsoportok</w:t>
      </w:r>
    </w:p>
    <w:p w14:paraId="0C75FC7D" w14:textId="77777777" w:rsidR="00A25754" w:rsidRPr="008D6922" w:rsidRDefault="00A25754" w:rsidP="00A25754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563FCFC" w14:textId="77777777" w:rsidR="00A25754" w:rsidRPr="008D6922" w:rsidRDefault="00A25754" w:rsidP="00A25754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</w:rPr>
      </w:pPr>
      <w:r>
        <w:rPr>
          <w:i/>
        </w:rPr>
        <w:t>Idősek</w:t>
      </w:r>
    </w:p>
    <w:p w14:paraId="07ED2485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Az idős betegek gondos obszervációt igényelnek, és a dózist a beteg státusza alapján, egyénileg kell meghatározni (lásd 4.4 és 5.2</w:t>
      </w:r>
      <w:r w:rsidR="00456B89">
        <w:t> pont</w:t>
      </w:r>
      <w:r>
        <w:t>).</w:t>
      </w:r>
    </w:p>
    <w:p w14:paraId="2F9EB50B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6943FB5" w14:textId="77777777" w:rsidR="00A25754" w:rsidRPr="00FA1669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Az opioiddal korábban nem kezelt idős betegeknél a kezelés csak akkor </w:t>
      </w:r>
      <w:r w:rsidR="00834FC5">
        <w:t>mérlegel</w:t>
      </w:r>
      <w:r w:rsidR="00D82AD1">
        <w:t>het</w:t>
      </w:r>
      <w:r w:rsidR="00834FC5">
        <w:t>ő</w:t>
      </w:r>
      <w:r>
        <w:t>, ha az előnyök meghaladják a kockázatokat. Ezekben az esetekben a kezelés elkezdéséhez kizárólag a 12</w:t>
      </w:r>
      <w:r w:rsidR="00EB441D">
        <w:t> mikro</w:t>
      </w:r>
      <w:r>
        <w:t xml:space="preserve">gramm/órás DUROGESIC adag </w:t>
      </w:r>
      <w:r w:rsidR="00834FC5">
        <w:t>mérlegelendő</w:t>
      </w:r>
      <w:r>
        <w:t>.</w:t>
      </w:r>
    </w:p>
    <w:p w14:paraId="305D055B" w14:textId="77777777" w:rsidR="00A25754" w:rsidRPr="00FA1669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BA33E9C" w14:textId="77777777" w:rsidR="00A25754" w:rsidRPr="00F535DB" w:rsidRDefault="00D82AD1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</w:rPr>
      </w:pPr>
      <w:r>
        <w:rPr>
          <w:i/>
        </w:rPr>
        <w:t>V</w:t>
      </w:r>
      <w:r w:rsidR="00A25754" w:rsidRPr="00F535DB">
        <w:rPr>
          <w:i/>
        </w:rPr>
        <w:t>ese</w:t>
      </w:r>
      <w:r w:rsidR="00EB441D" w:rsidRPr="00F535DB">
        <w:rPr>
          <w:i/>
        </w:rPr>
        <w:noBreakHyphen/>
      </w:r>
      <w:r w:rsidR="00A25754" w:rsidRPr="00F535DB">
        <w:rPr>
          <w:i/>
        </w:rPr>
        <w:t xml:space="preserve"> és máj</w:t>
      </w:r>
      <w:r>
        <w:rPr>
          <w:i/>
        </w:rPr>
        <w:t>károsodás</w:t>
      </w:r>
    </w:p>
    <w:p w14:paraId="40A5DC9C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</w:t>
      </w:r>
      <w:r w:rsidR="00D82AD1">
        <w:t xml:space="preserve">károsodott </w:t>
      </w:r>
      <w:r>
        <w:t>vese</w:t>
      </w:r>
      <w:r w:rsidR="00EB441D">
        <w:noBreakHyphen/>
      </w:r>
      <w:r>
        <w:t xml:space="preserve"> vagy májműködésű betegek gondos obszervációt igényelnek, és a dózist a beteg státusza alapján, egyénileg kell meghatározni (lásd 4.4 és 5.2</w:t>
      </w:r>
      <w:r w:rsidR="00456B89">
        <w:t> pont</w:t>
      </w:r>
      <w:r>
        <w:t>).</w:t>
      </w:r>
    </w:p>
    <w:p w14:paraId="360D22EA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31014778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Az opioiddal korábban nem kezelt, </w:t>
      </w:r>
      <w:r w:rsidR="00D82AD1">
        <w:t>károsodott</w:t>
      </w:r>
      <w:r>
        <w:t xml:space="preserve"> vese</w:t>
      </w:r>
      <w:r w:rsidR="00EB441D">
        <w:noBreakHyphen/>
      </w:r>
      <w:r>
        <w:t xml:space="preserve"> vagy májműködésű betegeknél a kezelés csak akkor </w:t>
      </w:r>
      <w:r w:rsidR="00834FC5">
        <w:t>mérlegel</w:t>
      </w:r>
      <w:r w:rsidR="00D82AD1">
        <w:t>het</w:t>
      </w:r>
      <w:r w:rsidR="00834FC5">
        <w:t>ő</w:t>
      </w:r>
      <w:r>
        <w:t>, ha az előnyök meghaladják a kockázatokat. Ezekben az esetekben a kezelés elkezdéséhez kizárólag a 12</w:t>
      </w:r>
      <w:r w:rsidR="00EB441D">
        <w:t> mikro</w:t>
      </w:r>
      <w:r>
        <w:t xml:space="preserve">gramm/órás DUROGESIC adag </w:t>
      </w:r>
      <w:r w:rsidR="00834FC5">
        <w:t>mérlegelendő</w:t>
      </w:r>
      <w:r>
        <w:t>.</w:t>
      </w:r>
    </w:p>
    <w:p w14:paraId="191FA5FB" w14:textId="77777777" w:rsidR="00A25754" w:rsidRPr="005D64FB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E2F4A6C" w14:textId="77777777" w:rsidR="00A25754" w:rsidRPr="00F651DA" w:rsidRDefault="00A25754" w:rsidP="00A25754">
      <w:pPr>
        <w:tabs>
          <w:tab w:val="clear" w:pos="567"/>
        </w:tabs>
        <w:spacing w:line="240" w:lineRule="auto"/>
        <w:rPr>
          <w:bCs/>
          <w:i/>
          <w:iCs/>
          <w:szCs w:val="22"/>
          <w:u w:val="single"/>
        </w:rPr>
      </w:pPr>
      <w:r>
        <w:rPr>
          <w:i/>
          <w:u w:val="single"/>
        </w:rPr>
        <w:t>Gyermekek és serdülők</w:t>
      </w:r>
    </w:p>
    <w:p w14:paraId="274712F0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6CAE44D8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i/>
        </w:rPr>
        <w:t>16</w:t>
      </w:r>
      <w:r w:rsidR="00EB441D">
        <w:rPr>
          <w:i/>
        </w:rPr>
        <w:t> év</w:t>
      </w:r>
      <w:r>
        <w:rPr>
          <w:i/>
        </w:rPr>
        <w:t xml:space="preserve">es és idősebb </w:t>
      </w:r>
      <w:r w:rsidR="00D82AD1">
        <w:rPr>
          <w:i/>
        </w:rPr>
        <w:t>serdülők</w:t>
      </w:r>
    </w:p>
    <w:p w14:paraId="7494137E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A felnőtteknél javasolt adagolást kell követni.</w:t>
      </w:r>
    </w:p>
    <w:p w14:paraId="6FBCC0E2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37407E89" w14:textId="77777777" w:rsidR="00A25754" w:rsidRPr="00A8717A" w:rsidRDefault="00A25754" w:rsidP="000B692F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i/>
        </w:rPr>
        <w:t>2</w:t>
      </w:r>
      <w:r w:rsidR="00EB441D">
        <w:rPr>
          <w:i/>
        </w:rPr>
        <w:noBreakHyphen/>
      </w:r>
      <w:r>
        <w:rPr>
          <w:i/>
        </w:rPr>
        <w:t>16</w:t>
      </w:r>
      <w:r w:rsidR="00EB441D">
        <w:rPr>
          <w:i/>
        </w:rPr>
        <w:t> év</w:t>
      </w:r>
      <w:r>
        <w:rPr>
          <w:i/>
        </w:rPr>
        <w:t>es gyermekek</w:t>
      </w:r>
      <w:r w:rsidR="006249FA">
        <w:rPr>
          <w:i/>
        </w:rPr>
        <w:t xml:space="preserve"> és serdülők</w:t>
      </w:r>
    </w:p>
    <w:p w14:paraId="40431EEB" w14:textId="77777777" w:rsidR="00A25754" w:rsidRPr="00A8717A" w:rsidRDefault="00A25754" w:rsidP="000B692F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A DUROGESIC csak olyan, opioid</w:t>
      </w:r>
      <w:r w:rsidR="00EB441D">
        <w:noBreakHyphen/>
      </w:r>
      <w:r>
        <w:t>toleráns</w:t>
      </w:r>
      <w:r w:rsidR="00D82AD1">
        <w:t xml:space="preserve">, 2 és 16 év közötti </w:t>
      </w:r>
      <w:r>
        <w:t>gyermekgyógyászati betegeknek adható, akik már legalább 30</w:t>
      </w:r>
      <w:r w:rsidR="00EB441D">
        <w:t> mg</w:t>
      </w:r>
      <w:r>
        <w:t xml:space="preserve">/nap </w:t>
      </w:r>
      <w:r w:rsidR="00EB441D">
        <w:t>oralis</w:t>
      </w:r>
      <w:r>
        <w:t xml:space="preserve"> morfinnal ekvivalens opioidot kapnak. Orális vagy </w:t>
      </w:r>
      <w:r w:rsidR="00EB441D">
        <w:t>parenteralis</w:t>
      </w:r>
      <w:r>
        <w:t xml:space="preserve"> opioidokkal kezelt gyermekgyógyászati betegek DUROGESIC</w:t>
      </w:r>
      <w:r w:rsidR="00EB441D">
        <w:noBreakHyphen/>
      </w:r>
      <w:r>
        <w:t xml:space="preserve">re történő átállításához olvassa el az </w:t>
      </w:r>
      <w:r w:rsidR="00834FC5">
        <w:t>e</w:t>
      </w:r>
      <w:r>
        <w:t>kvianalgéziás potenciál átszámítását (1.</w:t>
      </w:r>
      <w:r w:rsidR="00D20ED4">
        <w:t> </w:t>
      </w:r>
      <w:r>
        <w:t xml:space="preserve">táblázat), valamint </w:t>
      </w:r>
      <w:r w:rsidR="00255ED3">
        <w:t>a</w:t>
      </w:r>
      <w:r>
        <w:t xml:space="preserve"> napi oralis </w:t>
      </w:r>
      <w:r w:rsidR="008C2133" w:rsidRPr="008C2133">
        <w:t>morfin</w:t>
      </w:r>
      <w:r w:rsidR="006249FA">
        <w:t>-</w:t>
      </w:r>
      <w:r>
        <w:t>adagon alapuló, javasolt DUROGESIC adagolást (4.</w:t>
      </w:r>
      <w:r w:rsidR="00D20ED4">
        <w:t> </w:t>
      </w:r>
      <w:r>
        <w:t>táblázat).</w:t>
      </w:r>
    </w:p>
    <w:p w14:paraId="6A05EC58" w14:textId="77777777" w:rsidR="00A25754" w:rsidRPr="00A8717A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tbl>
      <w:tblPr>
        <w:tblW w:w="5000" w:type="pct"/>
        <w:tblInd w:w="158" w:type="dxa"/>
        <w:tblLook w:val="0020" w:firstRow="1" w:lastRow="0" w:firstColumn="0" w:lastColumn="0" w:noHBand="0" w:noVBand="0"/>
      </w:tblPr>
      <w:tblGrid>
        <w:gridCol w:w="4093"/>
        <w:gridCol w:w="4978"/>
      </w:tblGrid>
      <w:tr w:rsidR="00A25754" w:rsidRPr="00D94DF2" w14:paraId="056E8A21" w14:textId="77777777" w:rsidTr="00A25754">
        <w:tc>
          <w:tcPr>
            <w:tcW w:w="7380" w:type="dxa"/>
            <w:gridSpan w:val="2"/>
            <w:tcBorders>
              <w:bottom w:val="single" w:sz="4" w:space="0" w:color="auto"/>
            </w:tcBorders>
            <w:vAlign w:val="bottom"/>
          </w:tcPr>
          <w:p w14:paraId="0048D70C" w14:textId="77777777" w:rsidR="00A25754" w:rsidRPr="00724729" w:rsidRDefault="00A25754" w:rsidP="00D20ED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1118" w:hanging="1118"/>
              <w:rPr>
                <w:b/>
                <w:iCs/>
                <w:szCs w:val="22"/>
              </w:rPr>
            </w:pPr>
            <w:r w:rsidRPr="00724729">
              <w:rPr>
                <w:b/>
              </w:rPr>
              <w:t>4.</w:t>
            </w:r>
            <w:r w:rsidR="00D20ED4" w:rsidRPr="00724729">
              <w:rPr>
                <w:b/>
              </w:rPr>
              <w:t> </w:t>
            </w:r>
            <w:r w:rsidRPr="00724729">
              <w:rPr>
                <w:b/>
              </w:rPr>
              <w:t>táblázat:</w:t>
            </w:r>
            <w:r w:rsidRPr="00724729">
              <w:rPr>
                <w:b/>
              </w:rPr>
              <w:tab/>
              <w:t xml:space="preserve">A napi oralis </w:t>
            </w:r>
            <w:r w:rsidR="00EC1B5A">
              <w:rPr>
                <w:b/>
              </w:rPr>
              <w:t>morfin</w:t>
            </w:r>
            <w:r w:rsidR="006249FA">
              <w:rPr>
                <w:b/>
              </w:rPr>
              <w:t>-</w:t>
            </w:r>
            <w:r w:rsidRPr="00724729">
              <w:rPr>
                <w:b/>
              </w:rPr>
              <w:t>adagon alapuló</w:t>
            </w:r>
            <w:r w:rsidRPr="00724729">
              <w:rPr>
                <w:b/>
                <w:vertAlign w:val="superscript"/>
              </w:rPr>
              <w:t>2</w:t>
            </w:r>
            <w:r w:rsidRPr="00724729">
              <w:rPr>
                <w:b/>
              </w:rPr>
              <w:t>, javasolt DUROGESIC</w:t>
            </w:r>
            <w:r w:rsidR="006249FA">
              <w:rPr>
                <w:b/>
              </w:rPr>
              <w:t>-</w:t>
            </w:r>
            <w:r w:rsidRPr="00724729">
              <w:rPr>
                <w:b/>
              </w:rPr>
              <w:t>adagolás gyermekgyógyászati betegeknél</w:t>
            </w:r>
            <w:r w:rsidRPr="00724729">
              <w:rPr>
                <w:b/>
                <w:vertAlign w:val="superscript"/>
              </w:rPr>
              <w:t>1</w:t>
            </w:r>
          </w:p>
        </w:tc>
      </w:tr>
      <w:tr w:rsidR="00A25754" w:rsidRPr="00D94DF2" w14:paraId="235CF1DE" w14:textId="77777777" w:rsidTr="00A25754"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CB5D240" w14:textId="77777777" w:rsidR="00A25754" w:rsidRPr="00724729" w:rsidRDefault="00A25754" w:rsidP="00A2575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iCs/>
                <w:szCs w:val="22"/>
              </w:rPr>
            </w:pPr>
            <w:r w:rsidRPr="00724729">
              <w:rPr>
                <w:b/>
              </w:rPr>
              <w:t>Oralis 24</w:t>
            </w:r>
            <w:r w:rsidR="00225876" w:rsidRPr="00724729">
              <w:rPr>
                <w:b/>
              </w:rPr>
              <w:t> órás</w:t>
            </w:r>
            <w:r w:rsidRPr="00724729">
              <w:rPr>
                <w:b/>
              </w:rPr>
              <w:t xml:space="preserve"> morfin</w:t>
            </w:r>
            <w:r w:rsidRPr="00724729">
              <w:rPr>
                <w:b/>
              </w:rPr>
              <w:br/>
              <w:t>(mg/nap)</w:t>
            </w:r>
          </w:p>
        </w:tc>
        <w:tc>
          <w:tcPr>
            <w:tcW w:w="40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64FEDA6" w14:textId="77777777" w:rsidR="00A25754" w:rsidRPr="00724729" w:rsidRDefault="00A25754" w:rsidP="006249FA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iCs/>
                <w:szCs w:val="22"/>
              </w:rPr>
            </w:pPr>
            <w:r w:rsidRPr="00724729">
              <w:rPr>
                <w:b/>
              </w:rPr>
              <w:t>DUROGESIC</w:t>
            </w:r>
            <w:r w:rsidR="006249FA" w:rsidRPr="006249FA">
              <w:rPr>
                <w:b/>
              </w:rPr>
              <w:t>-</w:t>
            </w:r>
            <w:r w:rsidRPr="00724729">
              <w:rPr>
                <w:b/>
              </w:rPr>
              <w:t>adagolás</w:t>
            </w:r>
            <w:r w:rsidRPr="00724729">
              <w:rPr>
                <w:b/>
              </w:rPr>
              <w:br/>
              <w:t>(mikrogramm/óra)</w:t>
            </w:r>
          </w:p>
        </w:tc>
      </w:tr>
      <w:tr w:rsidR="00A25754" w:rsidRPr="00D94DF2" w14:paraId="17A9B676" w14:textId="77777777" w:rsidTr="00A25754">
        <w:tc>
          <w:tcPr>
            <w:tcW w:w="3330" w:type="dxa"/>
            <w:tcBorders>
              <w:top w:val="single" w:sz="4" w:space="0" w:color="auto"/>
            </w:tcBorders>
            <w:shd w:val="clear" w:color="auto" w:fill="auto"/>
          </w:tcPr>
          <w:p w14:paraId="3FB78F17" w14:textId="77777777" w:rsidR="00A25754" w:rsidRPr="00D94DF2" w:rsidRDefault="00A25754" w:rsidP="00A2575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iCs/>
                <w:szCs w:val="22"/>
              </w:rPr>
            </w:pPr>
            <w:r>
              <w:t>30</w:t>
            </w:r>
            <w:r w:rsidR="00EB441D">
              <w:noBreakHyphen/>
            </w:r>
            <w:r>
              <w:t>44</w:t>
            </w:r>
          </w:p>
        </w:tc>
        <w:tc>
          <w:tcPr>
            <w:tcW w:w="4050" w:type="dxa"/>
            <w:tcBorders>
              <w:top w:val="single" w:sz="4" w:space="0" w:color="auto"/>
            </w:tcBorders>
            <w:shd w:val="clear" w:color="auto" w:fill="auto"/>
          </w:tcPr>
          <w:p w14:paraId="7FF93D18" w14:textId="77777777" w:rsidR="00A25754" w:rsidRPr="00D94DF2" w:rsidRDefault="00A25754" w:rsidP="00A2575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iCs/>
                <w:szCs w:val="22"/>
              </w:rPr>
            </w:pPr>
            <w:r>
              <w:t>12</w:t>
            </w:r>
          </w:p>
        </w:tc>
      </w:tr>
      <w:tr w:rsidR="00A25754" w:rsidRPr="00D94DF2" w14:paraId="357349F8" w14:textId="77777777" w:rsidTr="00A25754">
        <w:tc>
          <w:tcPr>
            <w:tcW w:w="3330" w:type="dxa"/>
            <w:tcBorders>
              <w:bottom w:val="single" w:sz="4" w:space="0" w:color="auto"/>
            </w:tcBorders>
            <w:shd w:val="clear" w:color="auto" w:fill="auto"/>
          </w:tcPr>
          <w:p w14:paraId="64C98057" w14:textId="77777777" w:rsidR="00A25754" w:rsidRPr="00D94DF2" w:rsidRDefault="00A25754" w:rsidP="00A2575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iCs/>
                <w:szCs w:val="22"/>
              </w:rPr>
            </w:pPr>
            <w:r>
              <w:t>45</w:t>
            </w:r>
            <w:r w:rsidR="00EB441D">
              <w:noBreakHyphen/>
            </w:r>
            <w:r>
              <w:t>134</w:t>
            </w: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auto"/>
          </w:tcPr>
          <w:p w14:paraId="214D81A5" w14:textId="77777777" w:rsidR="00A25754" w:rsidRPr="00D94DF2" w:rsidRDefault="00A25754" w:rsidP="00A2575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iCs/>
                <w:szCs w:val="22"/>
              </w:rPr>
            </w:pPr>
            <w:r>
              <w:t>25</w:t>
            </w:r>
          </w:p>
        </w:tc>
      </w:tr>
      <w:tr w:rsidR="00A25754" w:rsidRPr="00D94DF2" w14:paraId="39F86679" w14:textId="77777777" w:rsidTr="00A25754">
        <w:tc>
          <w:tcPr>
            <w:tcW w:w="7380" w:type="dxa"/>
            <w:gridSpan w:val="2"/>
            <w:tcBorders>
              <w:top w:val="single" w:sz="4" w:space="0" w:color="auto"/>
            </w:tcBorders>
          </w:tcPr>
          <w:p w14:paraId="22E97D52" w14:textId="77777777" w:rsidR="00A25754" w:rsidRPr="00835073" w:rsidRDefault="00A25754" w:rsidP="00A2575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288" w:hanging="288"/>
              <w:jc w:val="both"/>
              <w:rPr>
                <w:sz w:val="18"/>
              </w:rPr>
            </w:pPr>
            <w:r>
              <w:rPr>
                <w:vertAlign w:val="superscript"/>
              </w:rPr>
              <w:t>1</w:t>
            </w:r>
            <w:r>
              <w:tab/>
            </w:r>
            <w:r w:rsidRPr="00835073">
              <w:rPr>
                <w:sz w:val="18"/>
              </w:rPr>
              <w:t>A 25</w:t>
            </w:r>
            <w:r w:rsidR="00EB441D" w:rsidRPr="00835073">
              <w:rPr>
                <w:sz w:val="18"/>
              </w:rPr>
              <w:t> mikro</w:t>
            </w:r>
            <w:r w:rsidRPr="00835073">
              <w:rPr>
                <w:sz w:val="18"/>
              </w:rPr>
              <w:t>gramm/óránál magasabb DUROGESIC adagokra történő átállítás esetén a felnőttek és a gyermekgyógyászati betegek adagja megegyezik (lásd 2.</w:t>
            </w:r>
            <w:r w:rsidR="00D20ED4">
              <w:rPr>
                <w:sz w:val="18"/>
              </w:rPr>
              <w:t> </w:t>
            </w:r>
            <w:r w:rsidRPr="00835073">
              <w:rPr>
                <w:sz w:val="18"/>
              </w:rPr>
              <w:t>táblázat</w:t>
            </w:r>
            <w:r>
              <w:rPr>
                <w:sz w:val="18"/>
              </w:rPr>
              <w:t>).</w:t>
            </w:r>
          </w:p>
          <w:p w14:paraId="72797E8A" w14:textId="77777777" w:rsidR="00A25754" w:rsidRPr="00D94DF2" w:rsidRDefault="00A25754" w:rsidP="00255ED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288" w:hanging="288"/>
              <w:jc w:val="both"/>
              <w:rPr>
                <w:szCs w:val="22"/>
              </w:rPr>
            </w:pPr>
            <w:r>
              <w:rPr>
                <w:vertAlign w:val="superscript"/>
              </w:rPr>
              <w:t>2</w:t>
            </w:r>
            <w:r>
              <w:tab/>
            </w:r>
            <w:r>
              <w:rPr>
                <w:sz w:val="18"/>
              </w:rPr>
              <w:t xml:space="preserve">A klinikai vizsgálatokban az oralis morfinnak ezeket a napi dózistartományait </w:t>
            </w:r>
            <w:r w:rsidR="00255ED3">
              <w:rPr>
                <w:sz w:val="18"/>
              </w:rPr>
              <w:t xml:space="preserve">használták </w:t>
            </w:r>
            <w:r>
              <w:rPr>
                <w:sz w:val="18"/>
              </w:rPr>
              <w:t>a DUROGESIC</w:t>
            </w:r>
            <w:r w:rsidR="00EB441D">
              <w:rPr>
                <w:sz w:val="18"/>
              </w:rPr>
              <w:noBreakHyphen/>
            </w:r>
            <w:r>
              <w:rPr>
                <w:sz w:val="18"/>
              </w:rPr>
              <w:t>re történő átszámítás alapjául.</w:t>
            </w:r>
          </w:p>
        </w:tc>
      </w:tr>
    </w:tbl>
    <w:p w14:paraId="098010FE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11189C5E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 w:rsidRPr="00B371A3">
        <w:rPr>
          <w:color w:val="000000"/>
        </w:rPr>
        <w:t>Két, gyermekgyógyászati betegekkel</w:t>
      </w:r>
      <w:r>
        <w:rPr>
          <w:color w:val="000000"/>
        </w:rPr>
        <w:t xml:space="preserve"> végzett vizsgálatb</w:t>
      </w:r>
      <w:r w:rsidR="00456B89">
        <w:rPr>
          <w:color w:val="000000"/>
        </w:rPr>
        <w:t>a</w:t>
      </w:r>
      <w:r>
        <w:rPr>
          <w:color w:val="000000"/>
        </w:rPr>
        <w:t>n a fentanil transzdermális tapasz szükséges dózisát konzervatív módon számították ki: napi 30</w:t>
      </w:r>
      <w:r w:rsidR="00EB441D">
        <w:rPr>
          <w:color w:val="000000"/>
        </w:rPr>
        <w:t> mg</w:t>
      </w:r>
      <w:r w:rsidR="00EB441D">
        <w:rPr>
          <w:color w:val="000000"/>
        </w:rPr>
        <w:noBreakHyphen/>
      </w:r>
      <w:r>
        <w:rPr>
          <w:color w:val="000000"/>
        </w:rPr>
        <w:t>44</w:t>
      </w:r>
      <w:r w:rsidR="00EB441D">
        <w:rPr>
          <w:color w:val="000000"/>
        </w:rPr>
        <w:t> mg</w:t>
      </w:r>
      <w:r>
        <w:rPr>
          <w:color w:val="000000"/>
        </w:rPr>
        <w:t xml:space="preserve"> oralis morfint vagy azzal ekvivalens opioid</w:t>
      </w:r>
      <w:r w:rsidR="006249FA">
        <w:rPr>
          <w:color w:val="000000"/>
        </w:rPr>
        <w:t>-</w:t>
      </w:r>
      <w:r>
        <w:rPr>
          <w:color w:val="000000"/>
        </w:rPr>
        <w:t>adagot egy DUROGESIC 12</w:t>
      </w:r>
      <w:r w:rsidR="00EB441D">
        <w:rPr>
          <w:color w:val="000000"/>
        </w:rPr>
        <w:t> mikro</w:t>
      </w:r>
      <w:r>
        <w:rPr>
          <w:color w:val="000000"/>
        </w:rPr>
        <w:t>gramm/óra tapasszal helyettesítettek. Megjegyzendő, hogy ez az átszámítás gyermekeknél csak akkor alkalmazható, ha az átállítás oralis morfinról (vagy azzal ekvivalensről) történik DUROGESIC tapaszra. Az átszámítás nem alkalmazható DUROGESIC</w:t>
      </w:r>
      <w:r w:rsidR="00EB441D">
        <w:rPr>
          <w:color w:val="000000"/>
        </w:rPr>
        <w:noBreakHyphen/>
      </w:r>
      <w:r>
        <w:rPr>
          <w:color w:val="000000"/>
        </w:rPr>
        <w:t>ről más opioidokra történő átállítás esetén, mert túladagolás következhet be.</w:t>
      </w:r>
    </w:p>
    <w:p w14:paraId="78338F8C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6D16E00C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>Az első adag DUROGESIC tapaszok fájdalomcsillapító hatása az első 24</w:t>
      </w:r>
      <w:r w:rsidR="00D20ED4">
        <w:t> </w:t>
      </w:r>
      <w:r>
        <w:t>órán belül nem lesz optimális. Ezért a DUROGESIC</w:t>
      </w:r>
      <w:r w:rsidR="00EB441D">
        <w:noBreakHyphen/>
      </w:r>
      <w:r>
        <w:t>re történő átállítás utáni első 12</w:t>
      </w:r>
      <w:r w:rsidR="00225876">
        <w:t> óra</w:t>
      </w:r>
      <w:r>
        <w:t xml:space="preserve"> alatt a betegnek a korábban rendszeresen adott analgetikum adagot kell adni. A következő 12</w:t>
      </w:r>
      <w:r w:rsidR="00D20ED4">
        <w:t> </w:t>
      </w:r>
      <w:r>
        <w:t>órában ezeket a fájdalomcsillapítókat a klinikai képnek megfelelően kell adni.</w:t>
      </w:r>
    </w:p>
    <w:p w14:paraId="219E25AC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4B17EDF5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>A DUROGESIC</w:t>
      </w:r>
      <w:r w:rsidR="00EB441D">
        <w:noBreakHyphen/>
      </w:r>
      <w:r>
        <w:t>kezelés elkezdése vagy a dózis emelése után a betegeknél a nemkívánatos események, köztük a hypoventilatio monitorozása legalább 48</w:t>
      </w:r>
      <w:r w:rsidR="00D20ED4">
        <w:t> </w:t>
      </w:r>
      <w:r>
        <w:t>órán át javasolt (lásd 4.4</w:t>
      </w:r>
      <w:r w:rsidR="00456B89">
        <w:t> pont</w:t>
      </w:r>
      <w:r>
        <w:t>).</w:t>
      </w:r>
    </w:p>
    <w:p w14:paraId="7010ABDD" w14:textId="77777777" w:rsidR="00A25754" w:rsidRPr="00C54BB9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4A9E31A6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color w:val="008000"/>
          <w:szCs w:val="22"/>
        </w:rPr>
      </w:pPr>
      <w:r>
        <w:t>A DUROGESIC</w:t>
      </w:r>
      <w:r w:rsidR="00EB441D">
        <w:noBreakHyphen/>
      </w:r>
      <w:r>
        <w:t>et 2</w:t>
      </w:r>
      <w:r w:rsidR="00EB441D">
        <w:t> év</w:t>
      </w:r>
      <w:r>
        <w:t>esnél fiatalabb gyermekek esetén nem szabad alkalmazni, mert a biztonságosságát és hatásosságát nem igazolták.</w:t>
      </w:r>
    </w:p>
    <w:p w14:paraId="31E38A97" w14:textId="77777777" w:rsidR="00A25754" w:rsidRPr="002C788B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0148A22B" w14:textId="77777777" w:rsidR="00A25754" w:rsidRPr="008A4BBD" w:rsidRDefault="00A25754" w:rsidP="00A25754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</w:rPr>
      </w:pPr>
      <w:r>
        <w:rPr>
          <w:i/>
        </w:rPr>
        <w:t>Dózisbeállítás és fenntartó kezelés gyermekeknél</w:t>
      </w:r>
    </w:p>
    <w:p w14:paraId="5A8200E5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>A DUROGESIC tapaszt 72</w:t>
      </w:r>
      <w:r w:rsidR="000544DF">
        <w:t> </w:t>
      </w:r>
      <w:r>
        <w:t>óránként cserélni kell. A dózist egyénileg kell beállítani, amíg egy, az analgetikus hatás és a tolerancia közti egyensúly elérésre nem kerül. Az adagot 72</w:t>
      </w:r>
      <w:r w:rsidR="000544DF">
        <w:t> </w:t>
      </w:r>
      <w:r>
        <w:t>óránál rövidebb időn belül tilos megemelni. Ha a DUROGESIC fájdalomcsillapító hatása nem elegendő, kiegészítésként morfint vagy más, rövid hatástartamú opioidot kell adni. A kiegészítő fájdalomcsillapító igénytől és a gyermek fájdalom státuszától függően lehet a dózis emelése mellett dönteni. A dózis módosítását 12</w:t>
      </w:r>
      <w:r w:rsidR="00EB441D">
        <w:t> mikro</w:t>
      </w:r>
      <w:r>
        <w:t>gramm/órás lépésekben kell végezni.</w:t>
      </w:r>
    </w:p>
    <w:p w14:paraId="486930A7" w14:textId="77777777" w:rsidR="00A25754" w:rsidRPr="008A4BBD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067C4559" w14:textId="77777777" w:rsidR="00A25754" w:rsidRDefault="00A25754" w:rsidP="00A25754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u w:val="single"/>
        </w:rPr>
        <w:t>Az alkalmazás módja</w:t>
      </w:r>
    </w:p>
    <w:p w14:paraId="687D102A" w14:textId="77777777" w:rsidR="00A25754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A DUROGESIC transzdermális alkalmazásra való.</w:t>
      </w:r>
    </w:p>
    <w:p w14:paraId="20E21B3D" w14:textId="77777777" w:rsidR="00A25754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A DUROGESIC</w:t>
      </w:r>
      <w:r w:rsidR="00EB441D">
        <w:rPr>
          <w:sz w:val="22"/>
        </w:rPr>
        <w:noBreakHyphen/>
      </w:r>
      <w:r>
        <w:rPr>
          <w:sz w:val="22"/>
        </w:rPr>
        <w:t>et a törzs vagy a felkarok nem irritált és nem irradiált sima bőrfelszínén kell alkalmazni.</w:t>
      </w:r>
    </w:p>
    <w:p w14:paraId="1D3BAFEE" w14:textId="77777777" w:rsidR="00A25754" w:rsidRDefault="00A25754" w:rsidP="00A25754">
      <w:pPr>
        <w:pStyle w:val="Normal2"/>
        <w:jc w:val="left"/>
        <w:rPr>
          <w:sz w:val="22"/>
          <w:szCs w:val="22"/>
        </w:rPr>
      </w:pPr>
    </w:p>
    <w:p w14:paraId="15D8FCDA" w14:textId="77777777" w:rsidR="00A25754" w:rsidRPr="00EE0FF8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Annak a lehetőségnek a lehető legkisebbre történő csökkentése érdeké</w:t>
      </w:r>
      <w:r w:rsidR="00255ED3">
        <w:rPr>
          <w:sz w:val="22"/>
        </w:rPr>
        <w:t>b</w:t>
      </w:r>
      <w:r>
        <w:rPr>
          <w:sz w:val="22"/>
        </w:rPr>
        <w:t>en, hogy a gyermek eltávolítsa a tapaszt, fiatal gyermekeknél a hát felső része az előnyben részesítendő lokalizáció.</w:t>
      </w:r>
    </w:p>
    <w:p w14:paraId="4069044C" w14:textId="77777777" w:rsidR="00A25754" w:rsidRPr="00EE0FF8" w:rsidRDefault="00A25754" w:rsidP="00A25754">
      <w:pPr>
        <w:pStyle w:val="Normal2"/>
        <w:jc w:val="left"/>
        <w:rPr>
          <w:sz w:val="22"/>
          <w:szCs w:val="22"/>
        </w:rPr>
      </w:pPr>
    </w:p>
    <w:p w14:paraId="17D6ADEE" w14:textId="77777777" w:rsidR="00A25754" w:rsidRPr="00EE0FF8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Az alkalmazás helyén (jobb egy nem szőrös terület) a szőrt a felhelyezés előtt le kell vágni (nem borotválni). Ha a DUROGESIC tapasz alkalmazása előtt a felületet meg kell tisztítani, akkor azt tiszta vízzel kell megtenni. Nem használhatók szappanok, olajok, testápolók és semmilyen olyan egyéb anyag, amely irritálhatja a bőrt, vagy megváltoztathatja annak jellemzőit.</w:t>
      </w:r>
      <w:r w:rsidR="00225876">
        <w:rPr>
          <w:sz w:val="22"/>
        </w:rPr>
        <w:t xml:space="preserve"> </w:t>
      </w:r>
      <w:r>
        <w:rPr>
          <w:sz w:val="22"/>
        </w:rPr>
        <w:t xml:space="preserve">A bőrt a tapasz felhelyezése előtt teljesen meg kell szárítani. Alkalmazás előtt a tapaszt meg kell vizsgálni. Ha a tapasz </w:t>
      </w:r>
      <w:r w:rsidR="00456B89">
        <w:rPr>
          <w:sz w:val="22"/>
        </w:rPr>
        <w:t>be</w:t>
      </w:r>
      <w:r>
        <w:rPr>
          <w:sz w:val="22"/>
        </w:rPr>
        <w:t xml:space="preserve"> van vágva, ketté van vágva vagy bármilyen módon sérült, nem használható fel.</w:t>
      </w:r>
    </w:p>
    <w:p w14:paraId="21DB4088" w14:textId="77777777" w:rsidR="00A25754" w:rsidRPr="00EE0FF8" w:rsidRDefault="00A25754" w:rsidP="00A25754">
      <w:pPr>
        <w:pStyle w:val="Normal2"/>
        <w:jc w:val="left"/>
        <w:rPr>
          <w:sz w:val="22"/>
          <w:szCs w:val="22"/>
        </w:rPr>
      </w:pPr>
    </w:p>
    <w:p w14:paraId="7347564E" w14:textId="77777777" w:rsidR="00A25754" w:rsidRPr="00EE0FF8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A DUROGESIC</w:t>
      </w:r>
      <w:r w:rsidR="00EB441D">
        <w:rPr>
          <w:sz w:val="22"/>
        </w:rPr>
        <w:noBreakHyphen/>
      </w:r>
      <w:r>
        <w:rPr>
          <w:sz w:val="22"/>
        </w:rPr>
        <w:t>et a lezárt tasakból történő kivétel után azonnal fel kell helyezni.</w:t>
      </w:r>
      <w:r w:rsidR="00225876">
        <w:rPr>
          <w:sz w:val="22"/>
        </w:rPr>
        <w:t xml:space="preserve"> </w:t>
      </w:r>
      <w:r>
        <w:rPr>
          <w:sz w:val="22"/>
        </w:rPr>
        <w:t>A tapasz védőtasakból történő eltávolításához keresse meg a forrasztás mentén futó perforációt (ezt a tapasz címkéjén egy nyíl jelzi). A perforáció mentén hajtsa össze a tasakot, majd óvatosan tépje el a tasak anyagát. Nyissa szét még jobban a tasak mindkét oldalát, majd nyissa ki, mint egy könyvet. A tapasz védőrétege szét van vágva. Középen hajtsa félbe a tapaszt, és a védőréteg mindkét részét külön</w:t>
      </w:r>
      <w:r w:rsidR="00EB441D">
        <w:rPr>
          <w:sz w:val="22"/>
        </w:rPr>
        <w:noBreakHyphen/>
      </w:r>
      <w:r>
        <w:rPr>
          <w:sz w:val="22"/>
        </w:rPr>
        <w:t>külön távolítsa el. Ne érintse meg a tapasz öntapadó felszínét! A tapaszt tenyérrel határozottan, kb. 30</w:t>
      </w:r>
      <w:r w:rsidR="00456B89">
        <w:rPr>
          <w:sz w:val="22"/>
        </w:rPr>
        <w:t> </w:t>
      </w:r>
      <w:r>
        <w:rPr>
          <w:sz w:val="22"/>
        </w:rPr>
        <w:t>másodpercig a bőrre nyomva kell az alkalmazás helyére felragasztani. Meg kell győződni arról, hogy a tapasz szélei megfelelően odatapadtak. Ezután tiszta vízzel kezet kell mosni.</w:t>
      </w:r>
    </w:p>
    <w:p w14:paraId="12C6D152" w14:textId="77777777" w:rsidR="00A25754" w:rsidRPr="00EE0FF8" w:rsidRDefault="00A25754" w:rsidP="00A25754">
      <w:pPr>
        <w:pStyle w:val="Normal2"/>
        <w:jc w:val="left"/>
        <w:rPr>
          <w:sz w:val="22"/>
          <w:szCs w:val="22"/>
        </w:rPr>
      </w:pPr>
    </w:p>
    <w:p w14:paraId="7058E850" w14:textId="77777777" w:rsidR="00A25754" w:rsidRPr="00EE0FF8" w:rsidRDefault="00A25754" w:rsidP="00A25754">
      <w:pPr>
        <w:pStyle w:val="Normal2"/>
        <w:jc w:val="left"/>
        <w:rPr>
          <w:sz w:val="22"/>
          <w:szCs w:val="22"/>
        </w:rPr>
      </w:pPr>
      <w:r>
        <w:rPr>
          <w:sz w:val="22"/>
        </w:rPr>
        <w:t>A DUROGESIC 72</w:t>
      </w:r>
      <w:r w:rsidR="000544DF">
        <w:rPr>
          <w:sz w:val="22"/>
        </w:rPr>
        <w:t> </w:t>
      </w:r>
      <w:r>
        <w:rPr>
          <w:sz w:val="22"/>
        </w:rPr>
        <w:t xml:space="preserve">órán át, folyamatosan </w:t>
      </w:r>
      <w:r w:rsidR="00173B8F">
        <w:rPr>
          <w:sz w:val="22"/>
        </w:rPr>
        <w:t>viselhető</w:t>
      </w:r>
      <w:r>
        <w:rPr>
          <w:sz w:val="22"/>
        </w:rPr>
        <w:t>.</w:t>
      </w:r>
      <w:r w:rsidR="00225876">
        <w:rPr>
          <w:sz w:val="22"/>
        </w:rPr>
        <w:t xml:space="preserve"> </w:t>
      </w:r>
      <w:r>
        <w:rPr>
          <w:sz w:val="22"/>
        </w:rPr>
        <w:t>Az előző transzdermális tapasz eltávolítása után az új tapaszt egy másik bőrterületre kell felhelyezni. Egy újabb tapasz ugyanarra a bőrfelületre történő felhelyezése előtt több napnak kell eltelnie.</w:t>
      </w:r>
    </w:p>
    <w:p w14:paraId="1DD547BD" w14:textId="77777777" w:rsidR="00A25754" w:rsidRPr="00EE0FF8" w:rsidRDefault="00A25754" w:rsidP="00E42DD9">
      <w:pPr>
        <w:pStyle w:val="Normal2"/>
        <w:tabs>
          <w:tab w:val="left" w:pos="709"/>
        </w:tabs>
        <w:jc w:val="left"/>
        <w:rPr>
          <w:sz w:val="22"/>
          <w:szCs w:val="22"/>
        </w:rPr>
      </w:pPr>
    </w:p>
    <w:p w14:paraId="1A2DEF1C" w14:textId="77777777" w:rsidR="00A25754" w:rsidRDefault="00A25754" w:rsidP="00A25754">
      <w:pPr>
        <w:spacing w:line="240" w:lineRule="auto"/>
        <w:ind w:left="567" w:hanging="567"/>
      </w:pPr>
      <w:r>
        <w:rPr>
          <w:b/>
        </w:rPr>
        <w:t>4.3</w:t>
      </w:r>
      <w:r>
        <w:rPr>
          <w:b/>
        </w:rPr>
        <w:tab/>
        <w:t>Ellenjavallatok</w:t>
      </w:r>
    </w:p>
    <w:p w14:paraId="6F3AC9A7" w14:textId="77777777" w:rsidR="00A25754" w:rsidRDefault="00A25754" w:rsidP="00A25754">
      <w:pPr>
        <w:spacing w:line="240" w:lineRule="auto"/>
      </w:pPr>
    </w:p>
    <w:p w14:paraId="3D570C9F" w14:textId="77777777" w:rsidR="00A25754" w:rsidRDefault="00A25754" w:rsidP="00A25754">
      <w:pPr>
        <w:spacing w:line="240" w:lineRule="auto"/>
      </w:pPr>
      <w:r>
        <w:t>A készítmény hatóanyagával vagy a 6.1</w:t>
      </w:r>
      <w:r w:rsidR="00456B89">
        <w:t> pont</w:t>
      </w:r>
      <w:r>
        <w:t>ban felsorolt bármely segédanyagával szembeni túlérzékenység.</w:t>
      </w:r>
    </w:p>
    <w:p w14:paraId="4F8BFA77" w14:textId="77777777" w:rsidR="00A25754" w:rsidRDefault="00A25754" w:rsidP="00A25754">
      <w:pPr>
        <w:spacing w:line="240" w:lineRule="auto"/>
      </w:pPr>
    </w:p>
    <w:p w14:paraId="481484BE" w14:textId="77777777" w:rsidR="00A25754" w:rsidRPr="0097048D" w:rsidRDefault="00A25754" w:rsidP="00A25754">
      <w:pPr>
        <w:spacing w:line="240" w:lineRule="auto"/>
      </w:pPr>
      <w:r>
        <w:t>Akut vagy posztoperatív fájdalom, mivel a rövid ideig tartó alkalmazás alatt nincs lehetőség a dózis kititrálására, és azért, mert súlyos vagy életet veszélyeztető hypoventilatiót okozhat.</w:t>
      </w:r>
    </w:p>
    <w:p w14:paraId="56353ADF" w14:textId="77777777" w:rsidR="00A25754" w:rsidRPr="0097048D" w:rsidRDefault="00A25754" w:rsidP="00A25754">
      <w:pPr>
        <w:spacing w:line="240" w:lineRule="auto"/>
      </w:pPr>
    </w:p>
    <w:p w14:paraId="532072A6" w14:textId="77777777" w:rsidR="00A25754" w:rsidRDefault="00A25754" w:rsidP="00A25754">
      <w:pPr>
        <w:spacing w:line="240" w:lineRule="auto"/>
      </w:pPr>
      <w:r>
        <w:t>Súlyos légzésdepresszió.</w:t>
      </w:r>
    </w:p>
    <w:p w14:paraId="1EDB2AE4" w14:textId="77777777" w:rsidR="00A25754" w:rsidRDefault="00A25754" w:rsidP="00A25754">
      <w:pPr>
        <w:spacing w:line="240" w:lineRule="auto"/>
      </w:pPr>
    </w:p>
    <w:p w14:paraId="59092579" w14:textId="77777777" w:rsidR="00A25754" w:rsidRDefault="00A25754" w:rsidP="00A25754">
      <w:pPr>
        <w:keepNext/>
        <w:spacing w:line="240" w:lineRule="auto"/>
        <w:ind w:left="562" w:hanging="562"/>
        <w:rPr>
          <w:b/>
        </w:rPr>
      </w:pPr>
      <w:r>
        <w:rPr>
          <w:b/>
        </w:rPr>
        <w:t>4.4</w:t>
      </w:r>
      <w:r>
        <w:rPr>
          <w:b/>
        </w:rPr>
        <w:tab/>
        <w:t>Különleges figyelmeztetések és az alkalmazással kapcsolatos óvintézkedések</w:t>
      </w:r>
    </w:p>
    <w:p w14:paraId="4EEF7915" w14:textId="77777777" w:rsidR="00A25754" w:rsidRDefault="00A25754" w:rsidP="00A25754">
      <w:pPr>
        <w:spacing w:line="240" w:lineRule="auto"/>
      </w:pPr>
    </w:p>
    <w:p w14:paraId="54050A92" w14:textId="77777777" w:rsidR="00A25754" w:rsidRDefault="00A25754" w:rsidP="00A25754">
      <w:pPr>
        <w:spacing w:line="240" w:lineRule="auto"/>
      </w:pPr>
      <w:r w:rsidRPr="00C14006">
        <w:t>Azokat a betegeket</w:t>
      </w:r>
      <w:r>
        <w:t>, akiknél súlyos nemkívánatos események alakultak ki, a DUROGESIC</w:t>
      </w:r>
      <w:r w:rsidR="00225876">
        <w:t xml:space="preserve"> </w:t>
      </w:r>
      <w:r>
        <w:t>eltávolítása után legalább 24</w:t>
      </w:r>
      <w:r w:rsidR="000544DF">
        <w:t> </w:t>
      </w:r>
      <w:r>
        <w:t>órán át vagy tovább, a klinikai tünetek által megszabott ideig</w:t>
      </w:r>
      <w:r w:rsidR="00225876">
        <w:t xml:space="preserve"> </w:t>
      </w:r>
      <w:r>
        <w:t>monitorozni kell, mivel a szérum fentanil</w:t>
      </w:r>
      <w:r w:rsidR="00EB441D">
        <w:noBreakHyphen/>
      </w:r>
      <w:r>
        <w:t>koncentráció</w:t>
      </w:r>
      <w:r w:rsidR="0037160E">
        <w:t>ja</w:t>
      </w:r>
      <w:r>
        <w:t xml:space="preserve"> fokozatosan, kb. 20</w:t>
      </w:r>
      <w:r w:rsidR="00EB441D">
        <w:noBreakHyphen/>
      </w:r>
      <w:r>
        <w:t>27</w:t>
      </w:r>
      <w:r w:rsidR="00225876">
        <w:t> óra</w:t>
      </w:r>
      <w:r>
        <w:t xml:space="preserve"> elteltével csökken </w:t>
      </w:r>
      <w:r w:rsidR="00C14006">
        <w:t xml:space="preserve">körülbelül </w:t>
      </w:r>
      <w:r>
        <w:t>50%</w:t>
      </w:r>
      <w:r w:rsidR="00EB441D">
        <w:noBreakHyphen/>
      </w:r>
      <w:r>
        <w:t>ra.</w:t>
      </w:r>
    </w:p>
    <w:p w14:paraId="60736B1D" w14:textId="77777777" w:rsidR="00861E75" w:rsidRDefault="00861E75" w:rsidP="00A25754">
      <w:pPr>
        <w:spacing w:line="240" w:lineRule="auto"/>
      </w:pPr>
    </w:p>
    <w:p w14:paraId="46E11CD7" w14:textId="77777777" w:rsidR="00861E75" w:rsidRPr="00D960B6" w:rsidRDefault="00861E75" w:rsidP="00A25754">
      <w:pPr>
        <w:spacing w:line="240" w:lineRule="auto"/>
      </w:pPr>
      <w:r>
        <w:t xml:space="preserve">A betegeket és a gondozóikat tájékoztatni kell arról, hogy a DUROGESIC olyan mennyiségű hatóanyagot tartalmaz, </w:t>
      </w:r>
      <w:r w:rsidR="00575165">
        <w:t>mely</w:t>
      </w:r>
      <w:r>
        <w:t xml:space="preserve"> végzetes lehet, különösen egy gyermek esetén. Ezért az összes tapaszt a gyermekektől elzárva kell tartani, az alkalmazás előtt és után is.</w:t>
      </w:r>
    </w:p>
    <w:p w14:paraId="451C2DC3" w14:textId="77777777" w:rsidR="00A25754" w:rsidRDefault="00A25754" w:rsidP="00A25754">
      <w:pPr>
        <w:spacing w:line="240" w:lineRule="auto"/>
      </w:pPr>
    </w:p>
    <w:p w14:paraId="65145A85" w14:textId="77777777" w:rsidR="00F0006E" w:rsidRDefault="00F0006E" w:rsidP="00A25754">
      <w:pPr>
        <w:spacing w:line="240" w:lineRule="auto"/>
      </w:pPr>
      <w:r w:rsidRPr="00F0006E">
        <w:t>A kockázatok</w:t>
      </w:r>
      <w:r w:rsidR="00BB0C55">
        <w:t xml:space="preserve"> miatt, </w:t>
      </w:r>
      <w:r w:rsidR="00B80F1C">
        <w:t>mint például</w:t>
      </w:r>
      <w:r w:rsidR="00BB0C55">
        <w:t xml:space="preserve"> a</w:t>
      </w:r>
      <w:r w:rsidR="003C14B3">
        <w:t xml:space="preserve"> </w:t>
      </w:r>
      <w:r w:rsidR="00BB0C55" w:rsidRPr="00F0006E">
        <w:t>halálos kimenetel</w:t>
      </w:r>
      <w:r w:rsidR="00BB0C55">
        <w:t>ű</w:t>
      </w:r>
      <w:r w:rsidR="00BB0C55" w:rsidRPr="00F0006E">
        <w:t xml:space="preserve"> </w:t>
      </w:r>
      <w:r w:rsidR="00767819" w:rsidRPr="00F0006E">
        <w:t>véletlen lenyelés</w:t>
      </w:r>
      <w:r w:rsidR="009572F1">
        <w:t>t</w:t>
      </w:r>
      <w:r w:rsidR="00767819" w:rsidRPr="00F0006E">
        <w:t xml:space="preserve">, </w:t>
      </w:r>
      <w:r w:rsidR="00B80F1C">
        <w:t>helytelen alkalmazást</w:t>
      </w:r>
      <w:r w:rsidR="009572F1">
        <w:t xml:space="preserve"> </w:t>
      </w:r>
      <w:r w:rsidR="00767819" w:rsidRPr="00F0006E">
        <w:t xml:space="preserve">és </w:t>
      </w:r>
      <w:r w:rsidR="00767819">
        <w:t>gyógyszerabúzus</w:t>
      </w:r>
      <w:r w:rsidR="009572F1">
        <w:t>t</w:t>
      </w:r>
      <w:r>
        <w:t xml:space="preserve">, </w:t>
      </w:r>
      <w:r w:rsidRPr="00F0006E">
        <w:t xml:space="preserve">a betegeket és gondozóikat figyelmeztetni kell arra, hogy a DUROGESIC-et biztonságos és </w:t>
      </w:r>
      <w:r w:rsidR="003C14B3">
        <w:t xml:space="preserve">elzárt </w:t>
      </w:r>
      <w:r w:rsidRPr="00F0006E">
        <w:t xml:space="preserve">helyen tartsák, </w:t>
      </w:r>
      <w:r w:rsidR="003C14B3">
        <w:t xml:space="preserve">ami </w:t>
      </w:r>
      <w:r w:rsidRPr="00F0006E">
        <w:t>mások számára nem érhető</w:t>
      </w:r>
      <w:r w:rsidR="009572F1">
        <w:t xml:space="preserve"> </w:t>
      </w:r>
      <w:r w:rsidR="009572F1" w:rsidRPr="00F0006E">
        <w:t>el</w:t>
      </w:r>
      <w:r w:rsidRPr="00F0006E">
        <w:t>.</w:t>
      </w:r>
    </w:p>
    <w:p w14:paraId="58E1817F" w14:textId="77777777" w:rsidR="00F0006E" w:rsidRPr="00D960B6" w:rsidRDefault="00F0006E" w:rsidP="00A25754">
      <w:pPr>
        <w:spacing w:line="240" w:lineRule="auto"/>
      </w:pPr>
    </w:p>
    <w:p w14:paraId="5E31D587" w14:textId="77777777" w:rsidR="00A25754" w:rsidRPr="00F651DA" w:rsidRDefault="00A25754" w:rsidP="00A25754">
      <w:pPr>
        <w:spacing w:line="240" w:lineRule="auto"/>
        <w:rPr>
          <w:i/>
          <w:u w:val="single"/>
        </w:rPr>
      </w:pPr>
      <w:r>
        <w:rPr>
          <w:i/>
          <w:u w:val="single"/>
        </w:rPr>
        <w:t>Opioiddal korábban nem kezelt és opioidot nem toleráló állapotok</w:t>
      </w:r>
    </w:p>
    <w:p w14:paraId="38D98791" w14:textId="77777777" w:rsidR="00A25754" w:rsidRPr="00D960B6" w:rsidRDefault="00A25754" w:rsidP="00A25754">
      <w:pPr>
        <w:spacing w:line="240" w:lineRule="auto"/>
      </w:pPr>
      <w:r>
        <w:t>Opioiddal korábban nem kezelt betegeknél a DUROGESIC alkalmazása nagyon ritkán jelentős légzésdepresszióval és/vagy halálos kimenetellel társult, ha kezdeti opioid</w:t>
      </w:r>
      <w:r w:rsidR="0037160E">
        <w:t>-</w:t>
      </w:r>
      <w:r>
        <w:t>terápiaként alkalmazták, különösen a nem daganatos eredetű fájdalomban szenvedő betegeknél. Fennáll a súlyos vagy életveszélyes hypoventilatio lehetősége, még akkor is, ha az opioiddal korábban még nem kezelt betegeknél kezdeti kezelésként a legalacsonyabb DUROGESIC dózist alkalmazzák, különösen az idős vagy a beszűkült máj</w:t>
      </w:r>
      <w:r w:rsidR="00EB441D">
        <w:noBreakHyphen/>
      </w:r>
      <w:r>
        <w:t xml:space="preserve"> vagy veseműködésű betegeknél. A tolerancia</w:t>
      </w:r>
      <w:r w:rsidR="00EB441D">
        <w:noBreakHyphen/>
      </w:r>
      <w:r>
        <w:t>kialakulás tendenciája egyénről</w:t>
      </w:r>
      <w:r w:rsidR="00EB441D">
        <w:noBreakHyphen/>
      </w:r>
      <w:r>
        <w:t>egyénre széleskörűen változik. A DUROGESIC alkalmazása az opioid</w:t>
      </w:r>
      <w:r w:rsidR="00D62C3F">
        <w:t>-</w:t>
      </w:r>
      <w:r>
        <w:t>toleranciát mutató betegeknél ajánlott (lásd 4.2</w:t>
      </w:r>
      <w:r w:rsidR="00456B89">
        <w:t> pont</w:t>
      </w:r>
      <w:r>
        <w:t>).</w:t>
      </w:r>
    </w:p>
    <w:p w14:paraId="0C329242" w14:textId="77777777" w:rsidR="00A25754" w:rsidRPr="00D960B6" w:rsidRDefault="00A25754" w:rsidP="00A25754">
      <w:pPr>
        <w:spacing w:line="240" w:lineRule="auto"/>
      </w:pPr>
    </w:p>
    <w:p w14:paraId="0B219385" w14:textId="77777777" w:rsidR="00A25754" w:rsidRPr="00F651DA" w:rsidRDefault="00A25754" w:rsidP="00A25754">
      <w:pPr>
        <w:spacing w:line="240" w:lineRule="auto"/>
        <w:rPr>
          <w:i/>
          <w:u w:val="single"/>
        </w:rPr>
      </w:pPr>
      <w:r>
        <w:rPr>
          <w:i/>
          <w:u w:val="single"/>
        </w:rPr>
        <w:t>Légzésdepresszió</w:t>
      </w:r>
    </w:p>
    <w:p w14:paraId="222508DF" w14:textId="77777777" w:rsidR="00A25754" w:rsidRPr="00D960B6" w:rsidRDefault="00A25754" w:rsidP="00A25754">
      <w:pPr>
        <w:spacing w:line="240" w:lineRule="auto"/>
      </w:pPr>
      <w:r>
        <w:t>A betegek egy része a DUROGESIC mellett jelentős légzésdepressziót észlelhet. A betegeknél figyelni kell ezeket a hatásokat. A légzésdepresszió a DUROGESIC tapasz eltávolítása után is fennmaradhat. A légzésdepresszió előfordulási gyakorisága a DUROGESIC dózis növekedésével növekszik (lásd 4.9</w:t>
      </w:r>
      <w:r w:rsidR="00456B89">
        <w:t> pont</w:t>
      </w:r>
      <w:r>
        <w:t>).</w:t>
      </w:r>
    </w:p>
    <w:p w14:paraId="01D2054B" w14:textId="77777777" w:rsidR="00A25754" w:rsidRDefault="00A25754" w:rsidP="00A25754">
      <w:pPr>
        <w:spacing w:line="240" w:lineRule="auto"/>
        <w:ind w:left="567" w:hanging="567"/>
      </w:pPr>
    </w:p>
    <w:p w14:paraId="7121BD26" w14:textId="77777777" w:rsidR="003C14B3" w:rsidRDefault="003C14B3" w:rsidP="00445A9D">
      <w:pPr>
        <w:tabs>
          <w:tab w:val="clear" w:pos="567"/>
          <w:tab w:val="left" w:pos="0"/>
        </w:tabs>
        <w:spacing w:line="240" w:lineRule="auto"/>
      </w:pPr>
      <w:r w:rsidRPr="003C14B3">
        <w:t>Az opioidok alvással kapcsolatos légzési rendellenességeket okozhatnak, beleértve a központi alvási apnoét (</w:t>
      </w:r>
      <w:r w:rsidRPr="00077A6E">
        <w:rPr>
          <w:i/>
          <w:iCs/>
        </w:rPr>
        <w:t>central sleep apnoea</w:t>
      </w:r>
      <w:r w:rsidRPr="003C14B3">
        <w:t xml:space="preserve"> </w:t>
      </w:r>
      <w:r w:rsidR="00B80F1C">
        <w:t>–</w:t>
      </w:r>
      <w:r>
        <w:t xml:space="preserve"> </w:t>
      </w:r>
      <w:r w:rsidRPr="003C14B3">
        <w:t xml:space="preserve">CSA) és az alvással összefüggő hipoxiát. Az opioidok használata dózisfüggő módon növeli a CSA kockázatát. </w:t>
      </w:r>
      <w:r w:rsidR="009572F1">
        <w:t xml:space="preserve">A </w:t>
      </w:r>
      <w:r w:rsidRPr="003C14B3">
        <w:t>CSA-val jelentkező betegeknél mérlegel</w:t>
      </w:r>
      <w:r w:rsidR="00B80F1C">
        <w:t>ni kell</w:t>
      </w:r>
      <w:r w:rsidRPr="003C14B3">
        <w:t xml:space="preserve"> az opioidok összdózisának csökkentését.</w:t>
      </w:r>
    </w:p>
    <w:p w14:paraId="36624FC5" w14:textId="77777777" w:rsidR="003C14B3" w:rsidRDefault="003C14B3" w:rsidP="00A25754">
      <w:pPr>
        <w:spacing w:line="240" w:lineRule="auto"/>
        <w:ind w:left="567" w:hanging="567"/>
      </w:pPr>
    </w:p>
    <w:p w14:paraId="749B17CC" w14:textId="77777777" w:rsidR="00F1390D" w:rsidRPr="008E61C9" w:rsidRDefault="00F1390D" w:rsidP="00F1390D">
      <w:pPr>
        <w:keepNext/>
        <w:tabs>
          <w:tab w:val="clear" w:pos="567"/>
        </w:tabs>
        <w:spacing w:line="240" w:lineRule="auto"/>
        <w:rPr>
          <w:rFonts w:eastAsia="Times New Roman"/>
          <w:i/>
          <w:szCs w:val="22"/>
          <w:u w:val="single"/>
        </w:rPr>
      </w:pPr>
      <w:r>
        <w:rPr>
          <w:i/>
          <w:szCs w:val="22"/>
          <w:u w:val="single"/>
        </w:rPr>
        <w:t>A központi idegrendszeri depresszánsok, köztük a szedatív gyógyszerek, mint például a benzodiazepinek vagy az azzal rokon gyógyszerek, alkohol és központi idegrendszeri depresszáns narkotikumok egyidejű alkalmazásából eredő kockázat</w:t>
      </w:r>
    </w:p>
    <w:p w14:paraId="7CECE823" w14:textId="77777777" w:rsidR="00F1390D" w:rsidRPr="00567638" w:rsidRDefault="00F1390D" w:rsidP="00F1390D">
      <w:pPr>
        <w:spacing w:line="240" w:lineRule="auto"/>
        <w:rPr>
          <w:szCs w:val="22"/>
          <w:highlight w:val="yellow"/>
        </w:rPr>
      </w:pPr>
      <w:r>
        <w:t xml:space="preserve">A DUROGESIC és a szedatív gyógyszerek, mint például a benzodiazepinek vagy az azzal rokon gyógyszerek, alkohol </w:t>
      </w:r>
      <w:r w:rsidR="005D3A06">
        <w:t>vagy</w:t>
      </w:r>
      <w:r>
        <w:t xml:space="preserve"> központi idegrendszeri depresszáns n</w:t>
      </w:r>
      <w:r w:rsidR="005E4291">
        <w:t>arkotikumok egyidejű alkalmazás</w:t>
      </w:r>
      <w:r>
        <w:t xml:space="preserve">a sedatiót, légzésdepressziót, comát és halált eredményezhet. </w:t>
      </w:r>
      <w:r w:rsidR="008932EE">
        <w:t>E</w:t>
      </w:r>
      <w:r>
        <w:t xml:space="preserve"> kockázatok miatt a szedatív gyógyszerekkel történő egyidejű felírást az olyan betegek számára kell megtartani, akiknél nem lehetségesek alternatív terápiás lehetőségek. Ha olyan döntés születik, hogy a DUROGESIC</w:t>
      </w:r>
      <w:r>
        <w:noBreakHyphen/>
        <w:t>et szedatív gyógyszerekkel írják fel egyidejűleg, akkor a legalacsonyabb hatásos dózist kell alkalmazni, és a kezelés időtartamának a lehető legrövidebbnek kell lennie.</w:t>
      </w:r>
    </w:p>
    <w:p w14:paraId="279290CF" w14:textId="77777777" w:rsidR="00F1390D" w:rsidRPr="00077A6E" w:rsidRDefault="00F1390D" w:rsidP="00F1390D">
      <w:pPr>
        <w:spacing w:line="240" w:lineRule="auto"/>
      </w:pPr>
    </w:p>
    <w:p w14:paraId="3CCA260C" w14:textId="77777777" w:rsidR="00F1390D" w:rsidRPr="00567638" w:rsidRDefault="00F1390D" w:rsidP="00F1390D">
      <w:pPr>
        <w:spacing w:line="240" w:lineRule="auto"/>
        <w:rPr>
          <w:iCs/>
        </w:rPr>
      </w:pPr>
      <w:r>
        <w:t xml:space="preserve">A betegeknél szorosan figyelni kell a légzésdepresszióra és a sedatióra utaló </w:t>
      </w:r>
      <w:r w:rsidR="008932EE">
        <w:t>jeleket</w:t>
      </w:r>
      <w:r>
        <w:t xml:space="preserve"> és tüneteket. Ebben a tekintetben kifejezetten javasolt tájékoztatni a betegeket és a gondozóikat, hogy tisztában legyenek ezekkel a tünetekkel (lásd 4.5 pont).</w:t>
      </w:r>
    </w:p>
    <w:p w14:paraId="322273D3" w14:textId="77777777" w:rsidR="001075BE" w:rsidRPr="00D960B6" w:rsidRDefault="001075BE" w:rsidP="00A25754">
      <w:pPr>
        <w:spacing w:line="240" w:lineRule="auto"/>
        <w:ind w:left="567" w:hanging="567"/>
      </w:pPr>
    </w:p>
    <w:p w14:paraId="6EC23AD8" w14:textId="77777777" w:rsidR="00A25754" w:rsidRPr="00F651DA" w:rsidRDefault="00A25754" w:rsidP="00A25754">
      <w:pPr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Krónikus tüdőbetegség</w:t>
      </w:r>
    </w:p>
    <w:p w14:paraId="2C585E77" w14:textId="77777777" w:rsidR="00A25754" w:rsidRPr="005C7643" w:rsidRDefault="00A25754" w:rsidP="00A25754">
      <w:pPr>
        <w:tabs>
          <w:tab w:val="clear" w:pos="567"/>
        </w:tabs>
        <w:spacing w:line="240" w:lineRule="auto"/>
      </w:pPr>
      <w:r>
        <w:t>A DUROGESIC súlyosabb mellékhatásokat okozhat a krónikus obstruktív vagy más tüdőbetegségekben szenvedő betegeknél.</w:t>
      </w:r>
      <w:r w:rsidR="00225876">
        <w:t xml:space="preserve"> </w:t>
      </w:r>
      <w:r>
        <w:t>Az ilyen betegeknél az opioidok csökkenthetik a légzési ingert, és növelhetik a légúti ellenállást.</w:t>
      </w:r>
    </w:p>
    <w:p w14:paraId="552CC795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1F17C7E" w14:textId="77777777" w:rsidR="005E4291" w:rsidRPr="005D7350" w:rsidRDefault="005E4291" w:rsidP="005E4291">
      <w:pPr>
        <w:keepNext/>
        <w:tabs>
          <w:tab w:val="clear" w:pos="567"/>
        </w:tabs>
        <w:spacing w:line="240" w:lineRule="auto"/>
        <w:outlineLvl w:val="2"/>
        <w:rPr>
          <w:i/>
          <w:u w:val="single"/>
        </w:rPr>
      </w:pPr>
      <w:r>
        <w:rPr>
          <w:i/>
          <w:u w:val="single"/>
        </w:rPr>
        <w:t>Hosszú távú terápiás hatások és tolerancia</w:t>
      </w:r>
    </w:p>
    <w:p w14:paraId="1841ADB1" w14:textId="77777777" w:rsidR="005E4291" w:rsidRPr="005D7350" w:rsidRDefault="005E4291" w:rsidP="005E4291">
      <w:r>
        <w:t xml:space="preserve">Az opioidok ismételt alkalmazásakor minden betegnél a </w:t>
      </w:r>
      <w:r w:rsidR="000279ED">
        <w:t>fájdalomcsillapító</w:t>
      </w:r>
      <w:r>
        <w:t xml:space="preserve"> hatásokkal szembeni tolerancia, hyperalgesia, </w:t>
      </w:r>
      <w:r w:rsidR="000279ED">
        <w:t>fizikai</w:t>
      </w:r>
      <w:r>
        <w:t xml:space="preserve"> és pszichés dependencia alakulhat ki</w:t>
      </w:r>
      <w:r w:rsidR="003A5A70">
        <w:t>, míg részleges tolerancia alakul ki néhány mellékhatásnál, mint például az opioidok indukálta székrekedés</w:t>
      </w:r>
      <w:r w:rsidR="00024390">
        <w:t xml:space="preserve"> esetén</w:t>
      </w:r>
      <w:r>
        <w:t xml:space="preserve">. </w:t>
      </w:r>
      <w:r w:rsidR="003A5A70" w:rsidRPr="003A5A70">
        <w:t xml:space="preserve">Különösen krónikus, nem </w:t>
      </w:r>
      <w:r w:rsidR="00EF380F">
        <w:t>daganatos megbetegedés okozta</w:t>
      </w:r>
      <w:r w:rsidR="00EF380F" w:rsidRPr="003A5A70">
        <w:t xml:space="preserve"> fájdalom</w:t>
      </w:r>
      <w:r w:rsidR="00EF380F">
        <w:t>tól</w:t>
      </w:r>
      <w:r w:rsidR="00EF380F" w:rsidRPr="003A5A70">
        <w:t xml:space="preserve"> </w:t>
      </w:r>
      <w:r w:rsidR="003A5A70" w:rsidRPr="003A5A70">
        <w:t xml:space="preserve">szenvedő betegek esetében arról számoltak be, hogy </w:t>
      </w:r>
      <w:r w:rsidR="00024390">
        <w:t xml:space="preserve">előfordult, hogy nem tapasztalnak jelentős enyhülést </w:t>
      </w:r>
      <w:r w:rsidR="003A5A70" w:rsidRPr="003A5A70">
        <w:t>a fájdalom intenzitás</w:t>
      </w:r>
      <w:r w:rsidR="00024390">
        <w:t xml:space="preserve">ában </w:t>
      </w:r>
      <w:r w:rsidR="003A5A70" w:rsidRPr="003A5A70">
        <w:t>hosszú távú folyamatos opioid-kezelés</w:t>
      </w:r>
      <w:r w:rsidR="00024390">
        <w:t xml:space="preserve">nél. </w:t>
      </w:r>
      <w:r w:rsidR="0031661F" w:rsidRPr="0031661F">
        <w:t>A kezelés során az orvosnak és a betegnek gyakran kell kapcsolatba lépnie egymással, hogy felmérjék a kezelés folytatásának szükségességét (lásd 4.2</w:t>
      </w:r>
      <w:r w:rsidR="0031661F" w:rsidRPr="00077A6E">
        <w:t> </w:t>
      </w:r>
      <w:r w:rsidR="0031661F" w:rsidRPr="0031661F">
        <w:t>pont).</w:t>
      </w:r>
      <w:r w:rsidR="0031661F">
        <w:t xml:space="preserve"> </w:t>
      </w:r>
      <w:r>
        <w:t>Amikor az a döntés születik, hogy a kezelés folytatásának nincs kedvező hatása, a dózist a megvonási tünetek miatt fokozatosan kell csökkenteni.</w:t>
      </w:r>
    </w:p>
    <w:p w14:paraId="2AB11075" w14:textId="77777777" w:rsidR="005E4291" w:rsidRPr="003D686B" w:rsidRDefault="005E4291" w:rsidP="005E4291">
      <w:pPr>
        <w:spacing w:line="240" w:lineRule="auto"/>
        <w:rPr>
          <w:u w:val="single"/>
        </w:rPr>
      </w:pPr>
    </w:p>
    <w:p w14:paraId="65D111F9" w14:textId="77777777" w:rsidR="00BB0C55" w:rsidRPr="003D686B" w:rsidRDefault="003C14B3" w:rsidP="003C14B3">
      <w:pPr>
        <w:spacing w:line="240" w:lineRule="auto"/>
      </w:pPr>
      <w:r w:rsidRPr="003D686B">
        <w:t xml:space="preserve">Ne </w:t>
      </w:r>
      <w:r w:rsidR="00527146" w:rsidRPr="003D686B">
        <w:t>hagyja abba</w:t>
      </w:r>
      <w:r w:rsidRPr="003D686B">
        <w:t xml:space="preserve"> </w:t>
      </w:r>
      <w:r w:rsidR="00A87311" w:rsidRPr="003D686B">
        <w:t>h</w:t>
      </w:r>
      <w:r w:rsidR="009572F1" w:rsidRPr="003D686B">
        <w:t>i</w:t>
      </w:r>
      <w:r w:rsidR="00A87311" w:rsidRPr="003D686B">
        <w:t xml:space="preserve">rtelen </w:t>
      </w:r>
      <w:r w:rsidRPr="003D686B">
        <w:t>a DUROGESIC</w:t>
      </w:r>
      <w:r w:rsidR="00EF380F" w:rsidRPr="003D686B">
        <w:t xml:space="preserve">-kezelést </w:t>
      </w:r>
      <w:r w:rsidRPr="003D686B">
        <w:t>opioidoktól fizikailag függő beteg</w:t>
      </w:r>
      <w:r w:rsidR="00EF380F" w:rsidRPr="003D686B">
        <w:t>ek</w:t>
      </w:r>
      <w:r w:rsidRPr="003D686B">
        <w:t xml:space="preserve">nél. A </w:t>
      </w:r>
      <w:r w:rsidR="00A87311" w:rsidRPr="003D686B">
        <w:t xml:space="preserve">terápia hirtelen </w:t>
      </w:r>
      <w:r w:rsidR="00527146" w:rsidRPr="003D686B">
        <w:t>abbahagy</w:t>
      </w:r>
      <w:r w:rsidR="009572F1" w:rsidRPr="003D686B">
        <w:t>ása</w:t>
      </w:r>
      <w:r w:rsidR="00A87311" w:rsidRPr="003D686B">
        <w:t xml:space="preserve"> vagy a dózis csökkentése esetén </w:t>
      </w:r>
      <w:r w:rsidRPr="003D686B">
        <w:t>gyógyszermegvonási szindróma fordulhat elő.</w:t>
      </w:r>
    </w:p>
    <w:p w14:paraId="20AB6383" w14:textId="77777777" w:rsidR="003C14B3" w:rsidRPr="003D686B" w:rsidRDefault="00A87311" w:rsidP="003C14B3">
      <w:pPr>
        <w:spacing w:line="240" w:lineRule="auto"/>
      </w:pPr>
      <w:r w:rsidRPr="003D686B">
        <w:t>Beszámoltak arról, hogy</w:t>
      </w:r>
      <w:r w:rsidR="003C14B3" w:rsidRPr="003D686B">
        <w:t xml:space="preserve"> az opioidoktól fizikailag függő betegeknél a DUROGESIC </w:t>
      </w:r>
      <w:r w:rsidR="00EF380F" w:rsidRPr="003D686B">
        <w:t xml:space="preserve">dózisának </w:t>
      </w:r>
      <w:r w:rsidR="003C14B3" w:rsidRPr="003D686B">
        <w:t xml:space="preserve">gyors csökkenése súlyos </w:t>
      </w:r>
      <w:r w:rsidR="00BB0C55" w:rsidRPr="003D686B">
        <w:t>meg</w:t>
      </w:r>
      <w:r w:rsidR="003C14B3" w:rsidRPr="003D686B">
        <w:t>vonási tünetekhez és kontrollálatlan fájdal</w:t>
      </w:r>
      <w:r w:rsidR="009572F1" w:rsidRPr="003D686B">
        <w:t>om</w:t>
      </w:r>
      <w:r w:rsidR="003C14B3" w:rsidRPr="003D686B">
        <w:t>hoz vezethet (lásd 4.2 és 4.8</w:t>
      </w:r>
      <w:r w:rsidR="00BB0C55" w:rsidRPr="003D686B">
        <w:t> </w:t>
      </w:r>
      <w:r w:rsidR="003C14B3" w:rsidRPr="003D686B">
        <w:t xml:space="preserve">pont). Ha </w:t>
      </w:r>
      <w:r w:rsidR="00527146" w:rsidRPr="003D686B">
        <w:t>egy</w:t>
      </w:r>
      <w:r w:rsidR="003C14B3" w:rsidRPr="003D686B">
        <w:t xml:space="preserve"> betegnek már nincs szüksége terápiára, akkor tanácsos az adagot fokozatosan csökkenteni a </w:t>
      </w:r>
      <w:r w:rsidR="009572F1" w:rsidRPr="003D686B">
        <w:t>meg</w:t>
      </w:r>
      <w:r w:rsidR="003C14B3" w:rsidRPr="003D686B">
        <w:t xml:space="preserve">vonási tünetek minimalizálása érdekében. </w:t>
      </w:r>
      <w:r w:rsidR="000C0E94" w:rsidRPr="003D686B">
        <w:t>N</w:t>
      </w:r>
      <w:r w:rsidR="003C14B3" w:rsidRPr="003D686B">
        <w:t>agy adag csökkentése hetekig vagy hónapokig tarthat.</w:t>
      </w:r>
    </w:p>
    <w:p w14:paraId="6A155B33" w14:textId="77777777" w:rsidR="003C14B3" w:rsidRPr="003D686B" w:rsidRDefault="003C14B3" w:rsidP="003C14B3">
      <w:pPr>
        <w:spacing w:line="240" w:lineRule="auto"/>
      </w:pPr>
      <w:r w:rsidRPr="003D686B">
        <w:t>Az opioid gyógyszermegvonási szindrómát a következők egy része vagy egésze jellemzi: nyugtalanság, könnyezés, rhinorrhoea, ásítás, izzadás, hidegrázás, myalgia, mydriasis és szívdobogás</w:t>
      </w:r>
      <w:r w:rsidR="00C74560" w:rsidRPr="003D686B">
        <w:t>érzés</w:t>
      </w:r>
      <w:r w:rsidRPr="003D686B">
        <w:t xml:space="preserve">. Egyéb tünetek is kialakulhatnak, beleértve </w:t>
      </w:r>
      <w:r w:rsidR="00113B7E" w:rsidRPr="003D686B">
        <w:t xml:space="preserve">az </w:t>
      </w:r>
      <w:r w:rsidRPr="003D686B">
        <w:t xml:space="preserve">ingerlékenységet, izgatottságot, szorongást, hiperkinéziát, remegést, gyengeséget, álmatlanságot, étvágytalanságot, hasi görcsöket, hányingert, hányást, hasmenést, </w:t>
      </w:r>
      <w:r w:rsidR="007A627D" w:rsidRPr="003D686B">
        <w:t>emel</w:t>
      </w:r>
      <w:r w:rsidRPr="003D686B">
        <w:t xml:space="preserve">kedett vérnyomást, </w:t>
      </w:r>
      <w:r w:rsidR="007A627D" w:rsidRPr="003D686B">
        <w:t>emel</w:t>
      </w:r>
      <w:r w:rsidRPr="003D686B">
        <w:t>kedett légzés</w:t>
      </w:r>
      <w:r w:rsidR="007A627D" w:rsidRPr="003D686B">
        <w:t>számot</w:t>
      </w:r>
      <w:r w:rsidRPr="003D686B">
        <w:t xml:space="preserve"> vagy </w:t>
      </w:r>
      <w:r w:rsidR="00EF380F" w:rsidRPr="003D686B">
        <w:t>szívfrekvenciát</w:t>
      </w:r>
      <w:r w:rsidRPr="003D686B">
        <w:t>.</w:t>
      </w:r>
    </w:p>
    <w:p w14:paraId="50589FB9" w14:textId="77777777" w:rsidR="003C14B3" w:rsidRPr="00311E9F" w:rsidRDefault="003C14B3" w:rsidP="003C14B3">
      <w:pPr>
        <w:spacing w:line="240" w:lineRule="auto"/>
        <w:rPr>
          <w:u w:val="single"/>
        </w:rPr>
      </w:pPr>
    </w:p>
    <w:p w14:paraId="72F46122" w14:textId="77777777" w:rsidR="005E4291" w:rsidRPr="00EC1B5A" w:rsidRDefault="00EF380F" w:rsidP="005E4291">
      <w:pPr>
        <w:outlineLvl w:val="2"/>
        <w:rPr>
          <w:i/>
          <w:iCs/>
        </w:rPr>
      </w:pPr>
      <w:r>
        <w:rPr>
          <w:i/>
          <w:iCs/>
          <w:u w:val="single"/>
        </w:rPr>
        <w:t>Opioidalkalmazási zavar</w:t>
      </w:r>
      <w:r w:rsidR="005E4291" w:rsidRPr="00EC1B5A">
        <w:rPr>
          <w:i/>
          <w:iCs/>
          <w:u w:val="single"/>
        </w:rPr>
        <w:t xml:space="preserve"> (gyógyszerabúzus és gyógyszerfüggőség)</w:t>
      </w:r>
    </w:p>
    <w:p w14:paraId="243F48E5" w14:textId="77777777" w:rsidR="0031661F" w:rsidRDefault="005E4291" w:rsidP="005E4291">
      <w:pPr>
        <w:tabs>
          <w:tab w:val="clear" w:pos="567"/>
        </w:tabs>
        <w:spacing w:line="240" w:lineRule="auto"/>
      </w:pPr>
      <w:r>
        <w:t xml:space="preserve">A DUROGESIC ismételt alkalmazása </w:t>
      </w:r>
      <w:r w:rsidR="00EF380F">
        <w:t>opioidalkalmazási zavarhoz</w:t>
      </w:r>
      <w:r w:rsidR="000279ED">
        <w:t xml:space="preserve"> (OUD – </w:t>
      </w:r>
      <w:r w:rsidR="000279ED" w:rsidRPr="00EC1B5A">
        <w:rPr>
          <w:i/>
          <w:iCs/>
        </w:rPr>
        <w:t>Opioid Use Disorder</w:t>
      </w:r>
      <w:r w:rsidR="000279ED">
        <w:t>)</w:t>
      </w:r>
      <w:r>
        <w:t xml:space="preserve"> vezethet. </w:t>
      </w:r>
      <w:r w:rsidR="0031661F" w:rsidRPr="0031661F">
        <w:t>Az opioid nagyobb dózisa és a kezelés hosszabb időtartama növelheti az OUD kialakulásának kockázatát.</w:t>
      </w:r>
      <w:r w:rsidR="0031661F">
        <w:t xml:space="preserve"> </w:t>
      </w:r>
      <w:r>
        <w:t xml:space="preserve">A DUROGESIC </w:t>
      </w:r>
      <w:r w:rsidR="00EF380F">
        <w:t xml:space="preserve">abúzusa </w:t>
      </w:r>
      <w:r>
        <w:t xml:space="preserve">vagy </w:t>
      </w:r>
      <w:r w:rsidR="000279ED">
        <w:t xml:space="preserve">szándékosan </w:t>
      </w:r>
      <w:r>
        <w:t xml:space="preserve">helytelen alkalmazása túladagolást és/vagy halált </w:t>
      </w:r>
      <w:r w:rsidR="00EF380F">
        <w:t>okozhat</w:t>
      </w:r>
      <w:r>
        <w:t xml:space="preserve">. Az </w:t>
      </w:r>
      <w:r w:rsidR="000279ED">
        <w:t>OUD</w:t>
      </w:r>
      <w:r>
        <w:t xml:space="preserve"> kialakulásának kockázata fokozott az olyan betegeknél, akiknek </w:t>
      </w:r>
      <w:r w:rsidR="00EF380F">
        <w:t>v</w:t>
      </w:r>
      <w:r>
        <w:t>agy egyéni</w:t>
      </w:r>
      <w:r w:rsidR="00EF380F">
        <w:t>,</w:t>
      </w:r>
      <w:r>
        <w:t xml:space="preserve"> vagy családi anamnézis</w:t>
      </w:r>
      <w:r w:rsidR="00EF380F">
        <w:t>é</w:t>
      </w:r>
      <w:r>
        <w:t xml:space="preserve">ben (szülők vagy testvérek) </w:t>
      </w:r>
      <w:r w:rsidR="00EF380F">
        <w:t>szerhasználat</w:t>
      </w:r>
      <w:r>
        <w:t xml:space="preserve"> okozta betegségek szerepelnek (beleértve az alkohol okozta kórképe</w:t>
      </w:r>
      <w:r w:rsidR="000279ED">
        <w:t>t</w:t>
      </w:r>
      <w:r>
        <w:t>), akik aktuálisan dohányoznak, vagy azoknál a betegeknél, akiknek az egyéni anamnézis</w:t>
      </w:r>
      <w:r w:rsidR="00EF380F">
        <w:t>é</w:t>
      </w:r>
      <w:r>
        <w:t>ben egyéb mentális betegség szerepel (pl. major depresszió, szorongás és személyiségzavarok).</w:t>
      </w:r>
    </w:p>
    <w:p w14:paraId="2ADC3044" w14:textId="77777777" w:rsidR="0031661F" w:rsidRDefault="0031661F" w:rsidP="005E4291">
      <w:pPr>
        <w:tabs>
          <w:tab w:val="clear" w:pos="567"/>
        </w:tabs>
        <w:spacing w:line="240" w:lineRule="auto"/>
      </w:pPr>
    </w:p>
    <w:p w14:paraId="5C346795" w14:textId="77777777" w:rsidR="0031661F" w:rsidRDefault="0031661F" w:rsidP="005E4291">
      <w:pPr>
        <w:tabs>
          <w:tab w:val="clear" w:pos="567"/>
        </w:tabs>
        <w:spacing w:line="240" w:lineRule="auto"/>
      </w:pPr>
      <w:r w:rsidRPr="0031661F">
        <w:t>A</w:t>
      </w:r>
      <w:r>
        <w:t xml:space="preserve"> DUROGESIC</w:t>
      </w:r>
      <w:r w:rsidRPr="0031661F">
        <w:t>-kezelés megkezdése előtt és a kezelés alatt a kezelési célokról és a kezelés leállítási tervéről meg kell állapodni a beteggel (lásd 4.2</w:t>
      </w:r>
      <w:r>
        <w:t> </w:t>
      </w:r>
      <w:r w:rsidRPr="0031661F">
        <w:t>pont). A kezelés előtt és alatt a beteget az OUD kockázatairól és jeleiről is tájékoztatni kell. Ezeknek a jeleknek az előfordulása esetén a betegeknek azt kell tanácsolni, hogy forduljanak kezelőorvosukhoz.</w:t>
      </w:r>
    </w:p>
    <w:p w14:paraId="6176B8E3" w14:textId="77777777" w:rsidR="0031661F" w:rsidRDefault="0031661F" w:rsidP="005E4291">
      <w:pPr>
        <w:tabs>
          <w:tab w:val="clear" w:pos="567"/>
        </w:tabs>
        <w:spacing w:line="240" w:lineRule="auto"/>
      </w:pPr>
    </w:p>
    <w:p w14:paraId="229FBCAD" w14:textId="77777777" w:rsidR="005E4291" w:rsidRDefault="005E4291" w:rsidP="005E4291">
      <w:pPr>
        <w:tabs>
          <w:tab w:val="clear" w:pos="567"/>
        </w:tabs>
        <w:spacing w:line="240" w:lineRule="auto"/>
        <w:rPr>
          <w:sz w:val="24"/>
          <w:szCs w:val="24"/>
        </w:rPr>
      </w:pPr>
      <w:r>
        <w:t>Az opioid típusú gyógyszerekkel kezelt beteg</w:t>
      </w:r>
      <w:r w:rsidR="006467D3">
        <w:t>ek</w:t>
      </w:r>
      <w:r w:rsidR="00EF380F">
        <w:t>et</w:t>
      </w:r>
      <w:r>
        <w:t xml:space="preserve"> monitorozni kell az </w:t>
      </w:r>
      <w:r w:rsidR="006467D3">
        <w:t>OUD</w:t>
      </w:r>
      <w:r>
        <w:t xml:space="preserve"> </w:t>
      </w:r>
      <w:r w:rsidR="00EF380F">
        <w:t>jelei</w:t>
      </w:r>
      <w:r w:rsidR="00522443">
        <w:t xml:space="preserve"> –</w:t>
      </w:r>
      <w:r>
        <w:t xml:space="preserve"> mint például a drogkereső magatartás (például az ismételt kiváltás iránti túl korai igény)</w:t>
      </w:r>
      <w:r w:rsidR="00522443">
        <w:t xml:space="preserve"> – tekintetében</w:t>
      </w:r>
      <w:r>
        <w:t>, különösen a fokozott kockázatú betegek</w:t>
      </w:r>
      <w:r w:rsidR="00522443">
        <w:t xml:space="preserve"> esetén</w:t>
      </w:r>
      <w:r>
        <w:t xml:space="preserve">. Ebbe beletartozik az opioidok és a pszichoaktív gyógyszerek (például a benzodiazepinek) egyidejű alkalmazásának a felülvizsgálata is. Azoknál a betegeknél, akiknél fennállnak az </w:t>
      </w:r>
      <w:r w:rsidR="006467D3">
        <w:t>OUD</w:t>
      </w:r>
      <w:r>
        <w:t xml:space="preserve"> </w:t>
      </w:r>
      <w:r w:rsidR="006467D3">
        <w:t xml:space="preserve">jelei és </w:t>
      </w:r>
      <w:r>
        <w:t>tünetei, mérlegelni kell egy addiktológus szakorvossal történő konzultációt.</w:t>
      </w:r>
      <w:r>
        <w:rPr>
          <w:rFonts w:ascii="AdvPSMER-R" w:hAnsi="AdvPSMER-R"/>
          <w:sz w:val="19"/>
          <w:szCs w:val="19"/>
        </w:rPr>
        <w:t xml:space="preserve"> </w:t>
      </w:r>
      <w:r>
        <w:t xml:space="preserve">Az opioid alkalmazásának abbahagyása esetén lásd </w:t>
      </w:r>
      <w:r w:rsidR="00522443">
        <w:t xml:space="preserve">a </w:t>
      </w:r>
      <w:r>
        <w:t>4.4 pont</w:t>
      </w:r>
      <w:r w:rsidR="00522443">
        <w:t>ot</w:t>
      </w:r>
      <w:r w:rsidR="003C14B3">
        <w:t>.</w:t>
      </w:r>
    </w:p>
    <w:p w14:paraId="6515F503" w14:textId="77777777" w:rsidR="005E4291" w:rsidRDefault="005E4291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16656ED3" w14:textId="77777777" w:rsidR="00A25754" w:rsidRPr="0090267A" w:rsidRDefault="00A25754" w:rsidP="00A25754">
      <w:pPr>
        <w:keepNext/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Központi idegrendszeri betegségek, beleértve a fokozott intracranialis nyomást is</w:t>
      </w:r>
    </w:p>
    <w:p w14:paraId="4C595C5C" w14:textId="77777777" w:rsidR="00A25754" w:rsidRPr="005C7643" w:rsidRDefault="00A25754" w:rsidP="00A25754">
      <w:pPr>
        <w:tabs>
          <w:tab w:val="clear" w:pos="567"/>
        </w:tabs>
        <w:spacing w:line="240" w:lineRule="auto"/>
      </w:pPr>
      <w:r>
        <w:t>A DUROGESIC óvatosan alkalmazandó olyan betegeknél, akik különösen érzékenyek lehetnek a CO</w:t>
      </w:r>
      <w:r>
        <w:rPr>
          <w:vertAlign w:val="subscript"/>
        </w:rPr>
        <w:t>2</w:t>
      </w:r>
      <w:r w:rsidR="00EB441D">
        <w:noBreakHyphen/>
      </w:r>
      <w:r>
        <w:t xml:space="preserve">retenció intracranialis hatásaira, például az olyanok, akiknél </w:t>
      </w:r>
      <w:r w:rsidR="002B0EB3">
        <w:t xml:space="preserve">bizonyítottan </w:t>
      </w:r>
      <w:r>
        <w:t>intracranialis nyomásfokozódás, tudatzavar vagy kóm</w:t>
      </w:r>
      <w:r w:rsidR="002B0EB3">
        <w:t>a áll fenn</w:t>
      </w:r>
      <w:r w:rsidR="00E31B60">
        <w:t>.</w:t>
      </w:r>
      <w:r>
        <w:t xml:space="preserve"> A DUROGESIC</w:t>
      </w:r>
      <w:r w:rsidR="00EB441D">
        <w:noBreakHyphen/>
      </w:r>
      <w:r>
        <w:t>et óvatosan kell alkalmazni agydaganatos betegeknél.</w:t>
      </w:r>
    </w:p>
    <w:p w14:paraId="1B3908BF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6113A43" w14:textId="77777777" w:rsidR="00A25754" w:rsidRPr="00F651DA" w:rsidRDefault="00A25754" w:rsidP="00A25754">
      <w:pPr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Szívbetegség</w:t>
      </w:r>
    </w:p>
    <w:p w14:paraId="0DF502FF" w14:textId="77777777" w:rsidR="00A25754" w:rsidRDefault="00A25754" w:rsidP="00A25754">
      <w:pPr>
        <w:tabs>
          <w:tab w:val="clear" w:pos="567"/>
        </w:tabs>
        <w:spacing w:line="240" w:lineRule="auto"/>
      </w:pPr>
      <w:r>
        <w:t>A fentanil bradycardiát okozhat, ezért óvatosan adandó bradyarrhythmiában szenvedő betegeknek.</w:t>
      </w:r>
    </w:p>
    <w:p w14:paraId="0B809E6C" w14:textId="77777777" w:rsidR="00A25754" w:rsidRPr="005C7643" w:rsidRDefault="00A25754" w:rsidP="00A25754">
      <w:pPr>
        <w:tabs>
          <w:tab w:val="clear" w:pos="567"/>
        </w:tabs>
        <w:spacing w:line="240" w:lineRule="auto"/>
      </w:pPr>
    </w:p>
    <w:p w14:paraId="604A4809" w14:textId="77777777" w:rsidR="00A25754" w:rsidRPr="00173FAA" w:rsidRDefault="00AE69D9" w:rsidP="00A25754">
      <w:pPr>
        <w:keepNext/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Hypotensio</w:t>
      </w:r>
    </w:p>
    <w:p w14:paraId="1CBA60F5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t xml:space="preserve">Az opioidok </w:t>
      </w:r>
      <w:r w:rsidR="00AE69D9">
        <w:t xml:space="preserve">hypotensiót </w:t>
      </w:r>
      <w:r>
        <w:t xml:space="preserve">okozhatnak, különösen akut hypovolaemiás betegeknél. A háttérben lévő, tünetekkel járó </w:t>
      </w:r>
      <w:r w:rsidR="00AE69D9">
        <w:t xml:space="preserve">hypotensiót </w:t>
      </w:r>
      <w:r>
        <w:t xml:space="preserve">és/vagy hypovolaemiát a fentanil transzdermális tapasszal történő kezelés megkezdése előtt korrigálni kell. </w:t>
      </w:r>
    </w:p>
    <w:p w14:paraId="352648C2" w14:textId="77777777" w:rsidR="00A25754" w:rsidRDefault="00A25754" w:rsidP="00A25754">
      <w:pPr>
        <w:tabs>
          <w:tab w:val="clear" w:pos="567"/>
        </w:tabs>
        <w:spacing w:line="240" w:lineRule="auto"/>
        <w:rPr>
          <w:i/>
          <w:u w:val="single"/>
        </w:rPr>
      </w:pPr>
    </w:p>
    <w:p w14:paraId="18C20555" w14:textId="77777777" w:rsidR="00A25754" w:rsidRPr="00F651DA" w:rsidRDefault="0086055A" w:rsidP="00A25754">
      <w:pPr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M</w:t>
      </w:r>
      <w:r w:rsidR="00A25754">
        <w:rPr>
          <w:i/>
          <w:u w:val="single"/>
        </w:rPr>
        <w:t>áj</w:t>
      </w:r>
      <w:r>
        <w:rPr>
          <w:i/>
          <w:u w:val="single"/>
        </w:rPr>
        <w:t>károsodás</w:t>
      </w:r>
    </w:p>
    <w:p w14:paraId="665352F6" w14:textId="77777777" w:rsidR="00A25754" w:rsidRPr="005C7643" w:rsidRDefault="00A25754" w:rsidP="00A25754">
      <w:pPr>
        <w:tabs>
          <w:tab w:val="clear" w:pos="567"/>
        </w:tabs>
        <w:spacing w:line="240" w:lineRule="auto"/>
      </w:pPr>
      <w:r>
        <w:t xml:space="preserve">Mivel a fentanil a májban metabolizálódik inaktív metabolitokká, ezért a </w:t>
      </w:r>
      <w:r w:rsidR="0086055A">
        <w:t xml:space="preserve">májkárosodás </w:t>
      </w:r>
      <w:r>
        <w:t>késleltetheti az eliminációját. Ha májkárosodásban szenvedő betegek DUROGESIC</w:t>
      </w:r>
      <w:r w:rsidR="00EB441D">
        <w:noBreakHyphen/>
      </w:r>
      <w:r>
        <w:t>et kapnak, gondosan ellenőrizni kell náluk a fentanil</w:t>
      </w:r>
      <w:r w:rsidR="0012495A">
        <w:t>-</w:t>
      </w:r>
      <w:r>
        <w:t>toxicitás okozta tüneteket, és amennyiben szükséges, a DUROGESIC dózisát csökkenteni kell (lásd 5.2</w:t>
      </w:r>
      <w:r w:rsidR="00456B89">
        <w:t> pont</w:t>
      </w:r>
      <w:r>
        <w:t>).</w:t>
      </w:r>
    </w:p>
    <w:p w14:paraId="25A29357" w14:textId="77777777" w:rsidR="00A25754" w:rsidRPr="005C7643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8FB40A0" w14:textId="77777777" w:rsidR="00A25754" w:rsidRPr="00F651DA" w:rsidRDefault="0086055A" w:rsidP="00A25754">
      <w:pPr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V</w:t>
      </w:r>
      <w:r w:rsidR="00A25754">
        <w:rPr>
          <w:i/>
          <w:u w:val="single"/>
        </w:rPr>
        <w:t>ese</w:t>
      </w:r>
      <w:r>
        <w:rPr>
          <w:i/>
          <w:u w:val="single"/>
        </w:rPr>
        <w:t>károsodás</w:t>
      </w:r>
    </w:p>
    <w:p w14:paraId="09EB3A08" w14:textId="77777777" w:rsidR="00A25754" w:rsidRPr="00EA362A" w:rsidRDefault="00A25754" w:rsidP="00A25754">
      <w:pPr>
        <w:tabs>
          <w:tab w:val="clear" w:pos="567"/>
        </w:tabs>
        <w:spacing w:line="240" w:lineRule="auto"/>
      </w:pPr>
      <w:r>
        <w:t>Annak ellenére, hogy a vesefunkció károsodása várhatóan nem befolyásolja klinikailag jelentős mértékben a fentanil eliminációját, elővigyázatosság javasolt, mert a fentanil farmakokinetikai tulajdonságait nem értékelték ebben a betegpopulációban (lásd 5.2</w:t>
      </w:r>
      <w:r w:rsidR="00456B89">
        <w:t> pont</w:t>
      </w:r>
      <w:r>
        <w:t>).</w:t>
      </w:r>
      <w:r w:rsidR="00225876">
        <w:t xml:space="preserve"> </w:t>
      </w:r>
      <w:r w:rsidR="005E4291">
        <w:t xml:space="preserve">A kezelés csak akkor mérlegelhető, ha az előnyök meghaladják a kockázatokat. </w:t>
      </w:r>
      <w:r>
        <w:t>Ha vesekárosodásban szenvedő betegek DUROGESIC</w:t>
      </w:r>
      <w:r w:rsidR="00EB441D">
        <w:noBreakHyphen/>
      </w:r>
      <w:r>
        <w:t>et kapnak, gondosan ellenőrizni kell náluk a fentanil</w:t>
      </w:r>
      <w:r w:rsidR="00834786">
        <w:t>-</w:t>
      </w:r>
      <w:r>
        <w:t>toxicitás okozta tüneteket, és amennyiben szükséges, a dózist csökkenteni kell. Az opioiddal korábban nem kezelt, beszűkült veseműködésű betegeknél további megszorításokat kell alkalmazni (lásd 4.2</w:t>
      </w:r>
      <w:r w:rsidR="00456B89">
        <w:t> pont</w:t>
      </w:r>
      <w:r>
        <w:t>).</w:t>
      </w:r>
    </w:p>
    <w:p w14:paraId="201DFAB5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927B544" w14:textId="77777777" w:rsidR="00A25754" w:rsidRPr="00F651DA" w:rsidRDefault="00A25754" w:rsidP="00A25754">
      <w:pPr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Láz/külső hőhatás</w:t>
      </w:r>
    </w:p>
    <w:p w14:paraId="4361BE6E" w14:textId="77777777" w:rsidR="00A25754" w:rsidRPr="00FA1669" w:rsidRDefault="00A25754" w:rsidP="00A25754">
      <w:pPr>
        <w:tabs>
          <w:tab w:val="clear" w:pos="567"/>
        </w:tabs>
        <w:spacing w:line="240" w:lineRule="auto"/>
      </w:pPr>
      <w:r>
        <w:t>A fentanil</w:t>
      </w:r>
      <w:r w:rsidR="00EB441D">
        <w:noBreakHyphen/>
      </w:r>
      <w:r>
        <w:t>koncentráció növekedhet, amennyiben a bőrhőmérséklet emelkedik (lásd 5.2</w:t>
      </w:r>
      <w:r w:rsidR="00456B89">
        <w:t> pont</w:t>
      </w:r>
      <w:r>
        <w:t>). Ezért lázas betegeknél monitorozni kell az opioid okozta nemkívánatos hatásokat, és ha szükséges, a DUROGESIC adagját módosítani kell. Fennáll annak a lehetősége, hogy a rendszerből fokozódik a hőmérsékletfüggő fentanil</w:t>
      </w:r>
      <w:r w:rsidR="00EB441D">
        <w:noBreakHyphen/>
      </w:r>
      <w:r>
        <w:t xml:space="preserve">felszabadulás, ami esetleg túladagoláshoz és halálhoz vezethet. </w:t>
      </w:r>
    </w:p>
    <w:p w14:paraId="17D35BCE" w14:textId="77777777" w:rsidR="00A25754" w:rsidRPr="00FA1669" w:rsidRDefault="00A25754" w:rsidP="00A25754">
      <w:pPr>
        <w:tabs>
          <w:tab w:val="clear" w:pos="567"/>
        </w:tabs>
        <w:spacing w:line="240" w:lineRule="auto"/>
      </w:pPr>
    </w:p>
    <w:p w14:paraId="22759926" w14:textId="77777777" w:rsidR="00A25754" w:rsidRPr="00EA362A" w:rsidRDefault="00A25754" w:rsidP="00A25754">
      <w:pPr>
        <w:tabs>
          <w:tab w:val="clear" w:pos="567"/>
        </w:tabs>
        <w:spacing w:line="240" w:lineRule="auto"/>
      </w:pPr>
      <w:r>
        <w:t>Minden betegeknek azt kell tanácsolni, hogy a DUROGESIC alkalmazási helyén kerüljék a közvetlen külső hőhatás</w:t>
      </w:r>
      <w:r w:rsidR="000544DF">
        <w:t>oka</w:t>
      </w:r>
      <w:r>
        <w:t xml:space="preserve">t, mint </w:t>
      </w:r>
      <w:r w:rsidR="000544DF">
        <w:t xml:space="preserve">például </w:t>
      </w:r>
      <w:r>
        <w:t>a melegítő párn</w:t>
      </w:r>
      <w:r w:rsidR="000544DF">
        <w:t>ák</w:t>
      </w:r>
      <w:r>
        <w:t>, elektromos takaró</w:t>
      </w:r>
      <w:r w:rsidR="000544DF">
        <w:t>k</w:t>
      </w:r>
      <w:r>
        <w:t>, fűtött vízágy</w:t>
      </w:r>
      <w:r w:rsidR="000544DF">
        <w:t>ak</w:t>
      </w:r>
      <w:r>
        <w:t>, melegítő vagy szolárium lámpák, intenzív napozás, forró vizes palack</w:t>
      </w:r>
      <w:r w:rsidR="000544DF">
        <w:t xml:space="preserve">ok </w:t>
      </w:r>
      <w:r>
        <w:t>hosszan tartó meleg fürdő</w:t>
      </w:r>
      <w:r w:rsidR="000544DF">
        <w:t>k</w:t>
      </w:r>
      <w:r>
        <w:t>, szaun</w:t>
      </w:r>
      <w:r w:rsidR="000544DF">
        <w:t>ák</w:t>
      </w:r>
      <w:r>
        <w:t xml:space="preserve"> és meleg pezsgőfürdő</w:t>
      </w:r>
      <w:r w:rsidR="000544DF">
        <w:t>k</w:t>
      </w:r>
      <w:r>
        <w:t>.</w:t>
      </w:r>
    </w:p>
    <w:p w14:paraId="1480F9D5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2FD2E9B" w14:textId="77777777" w:rsidR="00A25754" w:rsidRPr="00F651DA" w:rsidRDefault="00A25754" w:rsidP="00A25754">
      <w:pPr>
        <w:tabs>
          <w:tab w:val="clear" w:pos="567"/>
        </w:tabs>
        <w:spacing w:line="240" w:lineRule="auto"/>
        <w:rPr>
          <w:i/>
          <w:u w:val="single"/>
        </w:rPr>
      </w:pPr>
      <w:r w:rsidRPr="00815086">
        <w:rPr>
          <w:i/>
          <w:u w:val="single"/>
        </w:rPr>
        <w:t>Szerotonin</w:t>
      </w:r>
      <w:r w:rsidR="004945C6">
        <w:rPr>
          <w:i/>
          <w:u w:val="single"/>
        </w:rPr>
        <w:t>-</w:t>
      </w:r>
      <w:r w:rsidRPr="00815086">
        <w:rPr>
          <w:i/>
          <w:u w:val="single"/>
        </w:rPr>
        <w:t>szindróma</w:t>
      </w:r>
    </w:p>
    <w:p w14:paraId="35F1BC10" w14:textId="77777777" w:rsidR="00A25754" w:rsidRPr="006D474D" w:rsidRDefault="00A25754" w:rsidP="00A25754">
      <w:pPr>
        <w:tabs>
          <w:tab w:val="clear" w:pos="567"/>
        </w:tabs>
        <w:spacing w:line="240" w:lineRule="auto"/>
      </w:pPr>
      <w:r>
        <w:t>Elővigyázatosság javasolt a DUROGESIC és olyan gyógyszerek együttadásakor, amelyek befolyásolják a szerotonerg neurotranszmitter rendszereket.</w:t>
      </w:r>
    </w:p>
    <w:p w14:paraId="15C87DCB" w14:textId="77777777" w:rsidR="00A25754" w:rsidRPr="006D474D" w:rsidRDefault="00A25754" w:rsidP="00A25754">
      <w:pPr>
        <w:tabs>
          <w:tab w:val="clear" w:pos="567"/>
        </w:tabs>
        <w:spacing w:line="240" w:lineRule="auto"/>
      </w:pPr>
    </w:p>
    <w:p w14:paraId="478E8F44" w14:textId="77777777" w:rsidR="00A25754" w:rsidRPr="006D474D" w:rsidRDefault="00A25754" w:rsidP="00A25754">
      <w:pPr>
        <w:tabs>
          <w:tab w:val="clear" w:pos="567"/>
        </w:tabs>
        <w:spacing w:line="240" w:lineRule="auto"/>
      </w:pPr>
      <w:r>
        <w:t>Pontenciálisan életveszélyes szerotonin</w:t>
      </w:r>
      <w:r w:rsidR="004945C6">
        <w:t>-</w:t>
      </w:r>
      <w:r>
        <w:t>szindróma léphet fel szerotonerg hatóanyagok, mint például szelektív szerotonin</w:t>
      </w:r>
      <w:r w:rsidR="00ED38E6">
        <w:t>visszavétel-</w:t>
      </w:r>
      <w:r>
        <w:t>gátlók (selective serotonin reuptake inhibitors, SSRI) és szerotonin</w:t>
      </w:r>
      <w:r w:rsidR="003B0548">
        <w:t>-</w:t>
      </w:r>
      <w:r>
        <w:t xml:space="preserve">noradrenalin </w:t>
      </w:r>
      <w:r w:rsidR="003B0548">
        <w:t>visszavétel</w:t>
      </w:r>
      <w:r>
        <w:t>gátlók (serotonin/norepinephrine reuptake inhibitors, SNRI), valamint olyan hatóanyagok egyidejű alkalmazásakor, amelyek rontják a szerotonin metabolizmusát (beleértve a monoamino</w:t>
      </w:r>
      <w:r w:rsidR="00EB441D">
        <w:noBreakHyphen/>
      </w:r>
      <w:r>
        <w:t>oxidáz</w:t>
      </w:r>
      <w:r w:rsidR="003B0548">
        <w:t>-</w:t>
      </w:r>
      <w:r>
        <w:t>gátlókat [MAO</w:t>
      </w:r>
      <w:r w:rsidR="00EB441D">
        <w:noBreakHyphen/>
      </w:r>
      <w:r>
        <w:t>gátlók] is).</w:t>
      </w:r>
      <w:r w:rsidR="00225876">
        <w:t xml:space="preserve"> </w:t>
      </w:r>
      <w:r>
        <w:t>Ez kialakulhat az ajánlott adag mellett is</w:t>
      </w:r>
      <w:r w:rsidR="00463368">
        <w:t xml:space="preserve"> (lásd 4.5 pont)</w:t>
      </w:r>
      <w:r>
        <w:t>.</w:t>
      </w:r>
    </w:p>
    <w:p w14:paraId="431AF839" w14:textId="77777777" w:rsidR="00A25754" w:rsidRPr="006D474D" w:rsidRDefault="00A25754" w:rsidP="00A25754">
      <w:pPr>
        <w:tabs>
          <w:tab w:val="clear" w:pos="567"/>
        </w:tabs>
        <w:spacing w:line="240" w:lineRule="auto"/>
      </w:pPr>
    </w:p>
    <w:p w14:paraId="7CB17859" w14:textId="77777777" w:rsidR="00A25754" w:rsidRPr="006D474D" w:rsidRDefault="00A25754" w:rsidP="00A25754">
      <w:pPr>
        <w:tabs>
          <w:tab w:val="clear" w:pos="567"/>
        </w:tabs>
        <w:spacing w:line="240" w:lineRule="auto"/>
      </w:pPr>
      <w:r>
        <w:t>A szerotonin</w:t>
      </w:r>
      <w:r w:rsidR="004945C6">
        <w:t>-</w:t>
      </w:r>
      <w:r>
        <w:t>szindrómába tartozhat a mentális állapot megváltozása (pl. agitáció, hallucinációk, kóma), vegetatív labilitás (pl. tachycardia, labilis vérnyomás, hyperthermia), neuromuscularis zavarok (pl. hyperreflexia, koordinációs zavar, izomrigiditás) és/vagy gastrointestinalis tünetek (pl. hányinger, hányás, hasmenés).</w:t>
      </w:r>
    </w:p>
    <w:p w14:paraId="3F62DFC6" w14:textId="77777777" w:rsidR="00A25754" w:rsidRPr="006D474D" w:rsidRDefault="00A25754" w:rsidP="00A25754">
      <w:pPr>
        <w:tabs>
          <w:tab w:val="clear" w:pos="567"/>
        </w:tabs>
        <w:spacing w:line="240" w:lineRule="auto"/>
      </w:pPr>
    </w:p>
    <w:p w14:paraId="4F2F8911" w14:textId="77777777" w:rsidR="00A25754" w:rsidRPr="006D474D" w:rsidRDefault="00A25754" w:rsidP="00A25754">
      <w:pPr>
        <w:tabs>
          <w:tab w:val="clear" w:pos="567"/>
        </w:tabs>
        <w:spacing w:line="240" w:lineRule="auto"/>
      </w:pPr>
      <w:r>
        <w:t>Szerotonin</w:t>
      </w:r>
      <w:r w:rsidR="003B0548">
        <w:t>-</w:t>
      </w:r>
      <w:r>
        <w:t>szindróma gyanúja esetén a DUROGESIC</w:t>
      </w:r>
      <w:r w:rsidR="00EB441D">
        <w:noBreakHyphen/>
      </w:r>
      <w:r>
        <w:t>kezelést abba kell hagyni.</w:t>
      </w:r>
    </w:p>
    <w:p w14:paraId="6DAA3EB8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735081D" w14:textId="77777777" w:rsidR="00A25754" w:rsidRDefault="00A25754" w:rsidP="00A25754">
      <w:pPr>
        <w:keepNext/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Kölcsönhatás más gyógyszerekkel</w:t>
      </w:r>
    </w:p>
    <w:p w14:paraId="08851056" w14:textId="77777777" w:rsidR="00A25754" w:rsidRPr="00F651DA" w:rsidRDefault="00A25754" w:rsidP="00A25754">
      <w:pPr>
        <w:keepNext/>
        <w:tabs>
          <w:tab w:val="clear" w:pos="567"/>
        </w:tabs>
        <w:spacing w:line="240" w:lineRule="auto"/>
        <w:rPr>
          <w:u w:val="single"/>
        </w:rPr>
      </w:pPr>
      <w:r>
        <w:rPr>
          <w:i/>
          <w:u w:val="single"/>
        </w:rPr>
        <w:t>CYP3A4</w:t>
      </w:r>
      <w:r w:rsidR="00EB441D">
        <w:rPr>
          <w:i/>
          <w:u w:val="single"/>
        </w:rPr>
        <w:noBreakHyphen/>
      </w:r>
      <w:r>
        <w:rPr>
          <w:i/>
          <w:u w:val="single"/>
        </w:rPr>
        <w:t>inhibitorok</w:t>
      </w:r>
    </w:p>
    <w:p w14:paraId="73D077E0" w14:textId="77777777" w:rsidR="00A25754" w:rsidRPr="00C21E59" w:rsidRDefault="00A25754" w:rsidP="00A25754">
      <w:pPr>
        <w:tabs>
          <w:tab w:val="clear" w:pos="567"/>
        </w:tabs>
        <w:spacing w:line="240" w:lineRule="auto"/>
      </w:pPr>
      <w:r>
        <w:t>A DUROGESIC és a citokróm P450</w:t>
      </w:r>
      <w:r w:rsidR="00336277">
        <w:t> </w:t>
      </w:r>
      <w:r>
        <w:t>3A4</w:t>
      </w:r>
      <w:r w:rsidR="009B29A4">
        <w:t> </w:t>
      </w:r>
      <w:r>
        <w:t>(CYP3A4) gátlóinak együttes adása a fentanil plazmakoncentrációjának emelkedését eredményezheti, ami fokozhatja vagy meghosszabbíthatja mind a terápiás, mind a mellékhatásokat, és súlyos légzésdepressziót okozhat. Ezért a DUROGESIC és a CYP3A4</w:t>
      </w:r>
      <w:r w:rsidR="00EB441D">
        <w:noBreakHyphen/>
      </w:r>
      <w:r>
        <w:t>gátlók együttes alkalmazása nem javasolt, kivéve, ha a kezelés előnyei meghaladják a mellékhatások fokozott kockázatát. A</w:t>
      </w:r>
      <w:r w:rsidR="00F87661">
        <w:t xml:space="preserve"> </w:t>
      </w:r>
      <w:r>
        <w:t>CYP3A4</w:t>
      </w:r>
      <w:r w:rsidR="00EB441D">
        <w:noBreakHyphen/>
      </w:r>
      <w:r>
        <w:t>inhibitorral végzett kezelés leállítása után a betegeknek rendszerint 2</w:t>
      </w:r>
      <w:r w:rsidR="00336277">
        <w:t> </w:t>
      </w:r>
      <w:r>
        <w:t xml:space="preserve">napot kell várniuk az első DUROGESIC tapasz alkalmazása előtt. </w:t>
      </w:r>
      <w:r w:rsidR="00861E75">
        <w:t>Ugyanakkor a gátlás időtartama változó, és bizonyos hosszú felezési idejű CYP3A4</w:t>
      </w:r>
      <w:r w:rsidR="00861E75">
        <w:noBreakHyphen/>
        <w:t>inhibitorok, mint például az amiodaron esetén, vagy az időfüggő inhibitorok, mint például az eritromicin, idelaliszib, nikardipin és ritonavir esetén</w:t>
      </w:r>
      <w:r>
        <w:t xml:space="preserve"> ez az időtartam hosszabb lehet. Ezért a DUROGESIC tapasz alkalmazása előtt a CYP3A4</w:t>
      </w:r>
      <w:r w:rsidR="00EB441D">
        <w:noBreakHyphen/>
      </w:r>
      <w:r>
        <w:t>inhibitor kísérőirata</w:t>
      </w:r>
      <w:r w:rsidR="00456B89">
        <w:t>iba</w:t>
      </w:r>
      <w:r>
        <w:t xml:space="preserve">n meg kell nézni a </w:t>
      </w:r>
      <w:r w:rsidR="00861E75">
        <w:t xml:space="preserve">hatóanyag </w:t>
      </w:r>
      <w:r>
        <w:t>felezési idejét, valamint az inhibitoros hatás időtartamát. A DUROGESIC</w:t>
      </w:r>
      <w:r w:rsidR="00EB441D">
        <w:noBreakHyphen/>
      </w:r>
      <w:r>
        <w:t>kel kezelt betegnél az utolsó tapasz eltávolítása után legalább 1</w:t>
      </w:r>
      <w:r w:rsidR="00336277">
        <w:t> </w:t>
      </w:r>
      <w:r>
        <w:t>hetet kell várni egy CYP3A4</w:t>
      </w:r>
      <w:r w:rsidR="00EB441D">
        <w:noBreakHyphen/>
      </w:r>
      <w:r>
        <w:t>inhibitorral történő kezelés elkezdése előtt. Ha a DUROGESIC és egy CYP3A4</w:t>
      </w:r>
      <w:r w:rsidR="00EB441D">
        <w:noBreakHyphen/>
      </w:r>
      <w:r>
        <w:t>inhibitor egyidejű alkalmazása elkerülhetetlen, a fentanil fokozott vagy meghosszabbított terápiás hatásai és mellékhatásai (különösen a légzésdepresszió) okozta panaszok vagy tünetek szoros monitorozása indokolt, és szükség szerint a DUROGESIC adagját csökkenteni kell, vagy az adagolását fel kell függeszteni (lásd 4.5</w:t>
      </w:r>
      <w:r w:rsidR="00456B89">
        <w:t> pont</w:t>
      </w:r>
      <w:r>
        <w:t>).</w:t>
      </w:r>
    </w:p>
    <w:p w14:paraId="1F93B4E7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08FC462" w14:textId="77777777" w:rsidR="00A25754" w:rsidRPr="00F651DA" w:rsidRDefault="00A25754" w:rsidP="00A25754">
      <w:pPr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Véletlen expozíció a tapasz áthelyeződése miatt</w:t>
      </w:r>
    </w:p>
    <w:p w14:paraId="266D9B80" w14:textId="77777777" w:rsidR="00A25754" w:rsidRPr="00C21E59" w:rsidRDefault="00A25754" w:rsidP="00A25754">
      <w:pPr>
        <w:tabs>
          <w:tab w:val="clear" w:pos="567"/>
        </w:tabs>
        <w:spacing w:line="240" w:lineRule="auto"/>
      </w:pPr>
      <w:r>
        <w:t xml:space="preserve">A tapaszt viselővel közös ágyban fekvéskor vagy szoros fizikai kontaktus esetén a fentanil tapasz véletlen áthelyeződése </w:t>
      </w:r>
      <w:r w:rsidR="006B3548">
        <w:t xml:space="preserve">a </w:t>
      </w:r>
      <w:r>
        <w:t>tapaszt nem viselőre (különösen gyermekre), opioid</w:t>
      </w:r>
      <w:r w:rsidR="00A6564F">
        <w:t>-</w:t>
      </w:r>
      <w:r>
        <w:t>túladagolást okozhat a tapaszt nem viselőnél. A betegeknek tanácsolni kell, hogy a tapasz véletlen áthelyeződésekor azonnal távolítsák el a tapaszt a tapaszt nem viselő bőréről (lásd 4.9</w:t>
      </w:r>
      <w:r w:rsidR="00456B89">
        <w:t> pont</w:t>
      </w:r>
      <w:r>
        <w:t>).</w:t>
      </w:r>
    </w:p>
    <w:p w14:paraId="55F3444F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09062A0" w14:textId="77777777" w:rsidR="00A25754" w:rsidRPr="00F651DA" w:rsidRDefault="00A25754" w:rsidP="00A25754">
      <w:pPr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Alkalmazása időseknél</w:t>
      </w:r>
    </w:p>
    <w:p w14:paraId="6E248710" w14:textId="77777777" w:rsidR="00A25754" w:rsidRPr="00C21E59" w:rsidRDefault="00A25754" w:rsidP="00A25754">
      <w:pPr>
        <w:tabs>
          <w:tab w:val="clear" w:pos="567"/>
        </w:tabs>
        <w:spacing w:line="240" w:lineRule="auto"/>
      </w:pPr>
      <w:r>
        <w:t>A fentanillal végzett intravénás vizsgálatok adatai arra utalnak, hogy idős betegeknél a clearance csökkenhet, a felezési idő megnyúlhat, és ők érzékenyebbek lehetnek a hatóanyagra, mint a fiatalabb betegek. Ha idős betegek DUROGESIC</w:t>
      </w:r>
      <w:r w:rsidR="00EB441D">
        <w:noBreakHyphen/>
      </w:r>
      <w:r>
        <w:t>et kapnak, gondosan ellenőrizni kell náluk a fentanil</w:t>
      </w:r>
      <w:r w:rsidR="00A6564F">
        <w:t>-</w:t>
      </w:r>
      <w:r>
        <w:t>toxicitás okozta tüneteket, és amennyiben szükséges, a dózist csökkenteni kell (lásd 5.2</w:t>
      </w:r>
      <w:r w:rsidR="00456B89">
        <w:t> pont</w:t>
      </w:r>
      <w:r>
        <w:t>).</w:t>
      </w:r>
    </w:p>
    <w:p w14:paraId="0A5E633B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2118FFE" w14:textId="77777777" w:rsidR="00A25754" w:rsidRPr="00F651DA" w:rsidRDefault="00A25754" w:rsidP="00A25754">
      <w:pPr>
        <w:keepNext/>
        <w:tabs>
          <w:tab w:val="clear" w:pos="567"/>
        </w:tabs>
        <w:spacing w:line="240" w:lineRule="auto"/>
        <w:rPr>
          <w:i/>
          <w:u w:val="single"/>
        </w:rPr>
      </w:pPr>
      <w:r>
        <w:rPr>
          <w:i/>
          <w:u w:val="single"/>
        </w:rPr>
        <w:t>Gastrointestinalis traktus</w:t>
      </w:r>
    </w:p>
    <w:p w14:paraId="56CE0101" w14:textId="77777777" w:rsidR="00A25754" w:rsidRPr="00F44E39" w:rsidRDefault="00A25754" w:rsidP="00A25754">
      <w:pPr>
        <w:tabs>
          <w:tab w:val="clear" w:pos="567"/>
        </w:tabs>
        <w:spacing w:line="240" w:lineRule="auto"/>
      </w:pPr>
      <w:r>
        <w:t>Az opioidok fokozzák a gastrointestinalis traktus simaizomzatának tónusát, és csökkentik a propulziós összehúzódásait. Az ennek eredményeképpen meghosszabbodott gastrointestinalis tranzitidő lehet felelős a fentanil székrekedést előidéző hatásáért. A betegeknek a székrekedést megelőző intézkedésekre vonatkozó tanácsokat kell adni, és a laxatívumuk profilaktikus alkalmazása mérlegelendő.</w:t>
      </w:r>
      <w:r w:rsidR="00225876">
        <w:t xml:space="preserve"> </w:t>
      </w:r>
      <w:r>
        <w:t>A krónikus székrekedésben szenvedő betegeknél fokozott elővigyázatosság szükséges. Paralyticus ileus fennállása vagy gyanúja esetén a DUROGESIC</w:t>
      </w:r>
      <w:r w:rsidR="00EB441D">
        <w:noBreakHyphen/>
      </w:r>
      <w:r>
        <w:t>kezelést abba kell hagyni.</w:t>
      </w:r>
    </w:p>
    <w:p w14:paraId="38095543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918B345" w14:textId="77777777" w:rsidR="00A25754" w:rsidRPr="00173FAA" w:rsidRDefault="00A25754" w:rsidP="00A25754">
      <w:pPr>
        <w:spacing w:line="240" w:lineRule="auto"/>
        <w:rPr>
          <w:i/>
          <w:iCs/>
          <w:u w:val="single"/>
        </w:rPr>
      </w:pPr>
      <w:r>
        <w:rPr>
          <w:i/>
          <w:u w:val="single"/>
        </w:rPr>
        <w:t>Myasthenia gravisban szenvedő betegek</w:t>
      </w:r>
    </w:p>
    <w:p w14:paraId="23A2464B" w14:textId="77777777" w:rsidR="00A25754" w:rsidRPr="00EE6521" w:rsidRDefault="00A25754" w:rsidP="00A25754">
      <w:pPr>
        <w:spacing w:line="240" w:lineRule="auto"/>
        <w:rPr>
          <w:b/>
          <w:iCs/>
        </w:rPr>
      </w:pPr>
      <w:r>
        <w:t>Nem epilepsziás (myo)clonusos reakciók előfordulhatnak. Az myasthenia gravisban szenvedő betegek kezelésekor elővigyázatosság szükséges.</w:t>
      </w:r>
    </w:p>
    <w:p w14:paraId="236F7820" w14:textId="77777777" w:rsidR="00A25754" w:rsidRDefault="00A25754" w:rsidP="00A25754">
      <w:pPr>
        <w:spacing w:line="240" w:lineRule="auto"/>
      </w:pPr>
    </w:p>
    <w:p w14:paraId="0660250B" w14:textId="77777777" w:rsidR="00A25754" w:rsidRPr="00173FAA" w:rsidRDefault="00A25754" w:rsidP="00A25754">
      <w:pPr>
        <w:spacing w:line="240" w:lineRule="auto"/>
        <w:rPr>
          <w:i/>
          <w:iCs/>
          <w:u w:val="single"/>
        </w:rPr>
      </w:pPr>
      <w:r>
        <w:rPr>
          <w:i/>
          <w:u w:val="single"/>
        </w:rPr>
        <w:t>Kevert opioid agonistákkal/antagonistákkal való egyidejű alkalmazás</w:t>
      </w:r>
    </w:p>
    <w:p w14:paraId="3179BA10" w14:textId="77777777" w:rsidR="00A25754" w:rsidRPr="00D01258" w:rsidRDefault="00A25754" w:rsidP="00A25754">
      <w:pPr>
        <w:spacing w:line="240" w:lineRule="auto"/>
        <w:rPr>
          <w:b/>
          <w:iCs/>
        </w:rPr>
      </w:pPr>
      <w:r>
        <w:t>Buprenorfinnal, nalbufinnal vagy pentazocinnal való egyidejű alkalmazás nem javasolt (lásd 4.5</w:t>
      </w:r>
      <w:r w:rsidR="00456B89">
        <w:t> pont</w:t>
      </w:r>
      <w:r>
        <w:t>).</w:t>
      </w:r>
    </w:p>
    <w:p w14:paraId="25E3D1F4" w14:textId="77777777" w:rsidR="00A25754" w:rsidRPr="00EA362A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FFA44D3" w14:textId="77777777" w:rsidR="00A25754" w:rsidRPr="00F651DA" w:rsidRDefault="00A25754" w:rsidP="00A25754">
      <w:pPr>
        <w:keepNext/>
        <w:keepLines/>
        <w:tabs>
          <w:tab w:val="clear" w:pos="567"/>
        </w:tabs>
        <w:spacing w:line="240" w:lineRule="auto"/>
        <w:rPr>
          <w:i/>
          <w:szCs w:val="22"/>
          <w:u w:val="single"/>
        </w:rPr>
      </w:pPr>
      <w:r>
        <w:rPr>
          <w:i/>
          <w:u w:val="single"/>
        </w:rPr>
        <w:t>Gyermekek és serdülők</w:t>
      </w:r>
    </w:p>
    <w:p w14:paraId="2F2F1B8F" w14:textId="77777777" w:rsidR="00A25754" w:rsidRDefault="00A25754" w:rsidP="00A25754">
      <w:pPr>
        <w:spacing w:line="240" w:lineRule="auto"/>
      </w:pPr>
      <w:r>
        <w:t>Opioiddal korábban nem kezelt gyermekgyógyászati betegeknek DUROGESIC nem adható (lásd 4.2</w:t>
      </w:r>
      <w:r w:rsidR="00456B89">
        <w:t> pont</w:t>
      </w:r>
      <w:r>
        <w:t>). A súlyos vagy életveszélyes hypoventilatio lehetősége a DUROGESIC transzdermális rendszer alkalmazott adagjától függetlenül fennáll.</w:t>
      </w:r>
    </w:p>
    <w:p w14:paraId="3D410CAC" w14:textId="77777777" w:rsidR="00A25754" w:rsidRPr="002473D8" w:rsidRDefault="00A25754" w:rsidP="00A25754">
      <w:pPr>
        <w:spacing w:line="240" w:lineRule="auto"/>
        <w:rPr>
          <w:b/>
        </w:rPr>
      </w:pPr>
    </w:p>
    <w:p w14:paraId="03900685" w14:textId="77777777" w:rsidR="00A25754" w:rsidRPr="0097048D" w:rsidRDefault="00A25754" w:rsidP="00A25754">
      <w:pPr>
        <w:spacing w:line="240" w:lineRule="auto"/>
      </w:pPr>
      <w:r>
        <w:t>A DUROGESIC</w:t>
      </w:r>
      <w:r w:rsidR="00EB441D">
        <w:noBreakHyphen/>
      </w:r>
      <w:r>
        <w:t>et 2</w:t>
      </w:r>
      <w:r w:rsidR="00EB441D">
        <w:t> év</w:t>
      </w:r>
      <w:r>
        <w:t>esnél fiatalabb gyermekeknél nem vizsgálták. A DUROGESIC</w:t>
      </w:r>
      <w:r w:rsidR="00EB441D">
        <w:noBreakHyphen/>
      </w:r>
      <w:r>
        <w:t>et csak opioid</w:t>
      </w:r>
      <w:r w:rsidR="00EB441D">
        <w:noBreakHyphen/>
      </w:r>
      <w:r>
        <w:t>toleráns, 2</w:t>
      </w:r>
      <w:r w:rsidR="00EB441D">
        <w:t> év</w:t>
      </w:r>
      <w:r>
        <w:t>es vagy idősebb gyermekeknek szabad adni (lásd 4.2</w:t>
      </w:r>
      <w:r w:rsidR="00456B89">
        <w:t> pont</w:t>
      </w:r>
      <w:r>
        <w:t xml:space="preserve">). </w:t>
      </w:r>
    </w:p>
    <w:p w14:paraId="4756BC3C" w14:textId="77777777" w:rsidR="00A25754" w:rsidRPr="0097048D" w:rsidRDefault="00A25754" w:rsidP="00A25754">
      <w:pPr>
        <w:spacing w:line="240" w:lineRule="auto"/>
      </w:pPr>
    </w:p>
    <w:p w14:paraId="6580322C" w14:textId="024D1C71" w:rsidR="00A25754" w:rsidRDefault="003B4B16" w:rsidP="00A25754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52CD82" wp14:editId="4624869D">
                <wp:simplePos x="0" y="0"/>
                <wp:positionH relativeFrom="column">
                  <wp:posOffset>5191760</wp:posOffset>
                </wp:positionH>
                <wp:positionV relativeFrom="paragraph">
                  <wp:posOffset>8291830</wp:posOffset>
                </wp:positionV>
                <wp:extent cx="2286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2B19A5" id="Line 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8.8pt,652.9pt" to="426.8pt,6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"/>
            </w:pict>
          </mc:Fallback>
        </mc:AlternateContent>
      </w:r>
      <w:r w:rsidR="00A25754">
        <w:t>Véletlen lenyelés elkerülése érdekében gyermekeknél a DUROGESIC alkalmazásának helyét gondosan kell kiválasztani (lásd 4.2 és 6.6</w:t>
      </w:r>
      <w:r w:rsidR="00456B89">
        <w:t> pont</w:t>
      </w:r>
      <w:r w:rsidR="00A25754">
        <w:t>), és gondosan ellenőrizni kell a tapasz tapadását.</w:t>
      </w:r>
    </w:p>
    <w:p w14:paraId="02119CCD" w14:textId="77777777" w:rsidR="00A25754" w:rsidRDefault="00A25754" w:rsidP="00A25754">
      <w:pPr>
        <w:spacing w:line="240" w:lineRule="auto"/>
      </w:pPr>
    </w:p>
    <w:p w14:paraId="78B91DA4" w14:textId="77777777" w:rsidR="007A627D" w:rsidRPr="00D472FA" w:rsidRDefault="007A627D" w:rsidP="007A627D">
      <w:pPr>
        <w:spacing w:line="240" w:lineRule="auto"/>
        <w:rPr>
          <w:i/>
          <w:iCs/>
          <w:u w:val="single"/>
        </w:rPr>
      </w:pPr>
      <w:r w:rsidRPr="00D472FA">
        <w:rPr>
          <w:i/>
          <w:iCs/>
          <w:u w:val="single"/>
        </w:rPr>
        <w:t>Opioid</w:t>
      </w:r>
      <w:r>
        <w:rPr>
          <w:i/>
          <w:iCs/>
          <w:u w:val="single"/>
        </w:rPr>
        <w:t>ok</w:t>
      </w:r>
      <w:r w:rsidRPr="00D472FA">
        <w:rPr>
          <w:i/>
          <w:iCs/>
          <w:u w:val="single"/>
        </w:rPr>
        <w:t xml:space="preserve"> által kiváltott </w:t>
      </w:r>
      <w:r w:rsidRPr="007A627D">
        <w:rPr>
          <w:i/>
          <w:iCs/>
          <w:noProof/>
          <w:szCs w:val="22"/>
          <w:u w:val="single"/>
        </w:rPr>
        <w:t>hyperalgesia</w:t>
      </w:r>
    </w:p>
    <w:p w14:paraId="70B30D1F" w14:textId="77777777" w:rsidR="007A627D" w:rsidRDefault="007A627D" w:rsidP="007A627D">
      <w:pPr>
        <w:spacing w:line="240" w:lineRule="auto"/>
      </w:pPr>
      <w:r>
        <w:t>Az opioidok által kiváltott hiperalgézia (</w:t>
      </w:r>
      <w:r w:rsidRPr="00077A6E">
        <w:rPr>
          <w:i/>
          <w:iCs/>
        </w:rPr>
        <w:t>opioid induced hyperalgesia</w:t>
      </w:r>
      <w:r w:rsidRPr="00077A6E">
        <w:t xml:space="preserve"> </w:t>
      </w:r>
      <w:r w:rsidR="00621C7F">
        <w:t>–</w:t>
      </w:r>
      <w:r>
        <w:t xml:space="preserve"> OIH) paradox válasz egy olyan opioidra, amelyben a stabil vagy </w:t>
      </w:r>
      <w:r w:rsidR="00F84318">
        <w:t xml:space="preserve">megemelt </w:t>
      </w:r>
      <w:r>
        <w:t>opioid</w:t>
      </w:r>
      <w:r w:rsidR="00F84318">
        <w:t>-</w:t>
      </w:r>
      <w:r>
        <w:t xml:space="preserve">expozíció ellenére a fájdalomérzékelés fokozódik. Ez különbözik a toleranciától, amelyben magasabb opioid dózisokra van szükség ugyanazon fájdalomcsillapító hatás eléréséhez vagy a visszatérő fájdalom kezeléséhez. Az OIH a fájdalom megnövekedett szintjeként, általánosabb fájdalomként (azaz kevésbé fokális) vagy hétköznapi (azaz nem fájdalmas) ingerek okozta fájdalomként jelentkezhet (allodynia), a betegség progressziójának bizonyítéka nélkül. Ha az OIH gyanúja merül fel, az opioid adagját lehetőség szerint </w:t>
      </w:r>
      <w:r w:rsidR="00100736">
        <w:t>mérsékelni</w:t>
      </w:r>
      <w:r>
        <w:t xml:space="preserve"> kell, vagy </w:t>
      </w:r>
      <w:r w:rsidR="00B338DC">
        <w:t xml:space="preserve">fokozatosan </w:t>
      </w:r>
      <w:r w:rsidR="00F84318">
        <w:t xml:space="preserve">le kell </w:t>
      </w:r>
      <w:r>
        <w:t>csökkenteni.</w:t>
      </w:r>
    </w:p>
    <w:p w14:paraId="200B4870" w14:textId="77777777" w:rsidR="00012E47" w:rsidRPr="00077A6E" w:rsidRDefault="00012E47" w:rsidP="00012E47">
      <w:pPr>
        <w:spacing w:line="240" w:lineRule="auto"/>
      </w:pPr>
    </w:p>
    <w:p w14:paraId="6BE6B2FF" w14:textId="77777777" w:rsidR="00012E47" w:rsidRPr="003D686B" w:rsidRDefault="00012E47" w:rsidP="00012E47">
      <w:pPr>
        <w:spacing w:line="240" w:lineRule="auto"/>
        <w:rPr>
          <w:i/>
          <w:iCs/>
          <w:u w:val="single"/>
        </w:rPr>
      </w:pPr>
      <w:r w:rsidRPr="003D686B">
        <w:rPr>
          <w:i/>
          <w:iCs/>
          <w:u w:val="single"/>
        </w:rPr>
        <w:t>Endokrin hatások</w:t>
      </w:r>
    </w:p>
    <w:p w14:paraId="0C6DD754" w14:textId="77777777" w:rsidR="00012E47" w:rsidRDefault="00012E47" w:rsidP="00012E47">
      <w:pPr>
        <w:spacing w:line="240" w:lineRule="auto"/>
      </w:pPr>
      <w:bookmarkStart w:id="2" w:name="_Hlk178769305"/>
      <w:r w:rsidRPr="00012E47">
        <w:t xml:space="preserve">Az opioidok, mint például a fentanil, befolyásolhatják a </w:t>
      </w:r>
      <w:r w:rsidR="00651FD8">
        <w:t>h</w:t>
      </w:r>
      <w:r w:rsidR="00651FD8" w:rsidRPr="00651FD8">
        <w:t>ypothalam</w:t>
      </w:r>
      <w:r w:rsidR="006E11EA">
        <w:t>us</w:t>
      </w:r>
      <w:r w:rsidR="00651FD8" w:rsidRPr="00651FD8">
        <w:t>-h</w:t>
      </w:r>
      <w:r w:rsidR="00651FD8">
        <w:t>y</w:t>
      </w:r>
      <w:r w:rsidR="00651FD8" w:rsidRPr="00651FD8">
        <w:t xml:space="preserve">pophysis-mellékvese </w:t>
      </w:r>
      <w:r w:rsidRPr="00012E47">
        <w:t xml:space="preserve">vagy </w:t>
      </w:r>
      <w:r w:rsidR="006E11EA">
        <w:noBreakHyphen/>
      </w:r>
      <w:r w:rsidRPr="00012E47">
        <w:t xml:space="preserve">gonadális tengelyt, különösen hosszú távú </w:t>
      </w:r>
      <w:r w:rsidR="00280698">
        <w:t>alkalmazást követően</w:t>
      </w:r>
      <w:r w:rsidRPr="00012E47">
        <w:t>.</w:t>
      </w:r>
      <w:r w:rsidR="00651FD8">
        <w:t xml:space="preserve"> </w:t>
      </w:r>
      <w:r w:rsidR="006E11EA">
        <w:t xml:space="preserve">Az ennek következtében tapasztalható eltérések között szerepelhet többek között </w:t>
      </w:r>
      <w:r w:rsidR="00651FD8" w:rsidRPr="00651FD8">
        <w:t>a szérumprolaktin</w:t>
      </w:r>
      <w:r w:rsidR="008B1110">
        <w:t>szint</w:t>
      </w:r>
      <w:r w:rsidR="00651FD8" w:rsidRPr="00651FD8">
        <w:t xml:space="preserve"> növekedése, valamint a kortizol és tesztoszteron </w:t>
      </w:r>
      <w:r w:rsidR="008B1110">
        <w:t xml:space="preserve">plazmaszintjének </w:t>
      </w:r>
      <w:r w:rsidR="00651FD8" w:rsidRPr="00651FD8">
        <w:t xml:space="preserve">csökkenése. </w:t>
      </w:r>
      <w:r w:rsidR="008B1110">
        <w:t>Ezek a hormonális változások k</w:t>
      </w:r>
      <w:r w:rsidR="00651FD8" w:rsidRPr="00651FD8">
        <w:t xml:space="preserve">linikai jelek és tünetek </w:t>
      </w:r>
      <w:r w:rsidR="008B1110">
        <w:t>formájában mutatkozhatnak meg</w:t>
      </w:r>
      <w:r w:rsidR="00651FD8" w:rsidRPr="00651FD8">
        <w:t>. Ha endokrin hatás, például h</w:t>
      </w:r>
      <w:r w:rsidR="00BD551F">
        <w:t>y</w:t>
      </w:r>
      <w:r w:rsidR="00651FD8" w:rsidRPr="00651FD8">
        <w:t>perprola</w:t>
      </w:r>
      <w:r w:rsidR="006E11EA">
        <w:t>c</w:t>
      </w:r>
      <w:r w:rsidR="00651FD8" w:rsidRPr="00651FD8">
        <w:t>tin</w:t>
      </w:r>
      <w:r w:rsidR="006E11EA">
        <w:t>a</w:t>
      </w:r>
      <w:r w:rsidR="00BD551F">
        <w:t>e</w:t>
      </w:r>
      <w:r w:rsidR="00651FD8" w:rsidRPr="00651FD8">
        <w:t>mia vagy mellékvese</w:t>
      </w:r>
      <w:r w:rsidR="005D62BE">
        <w:t>kéreg</w:t>
      </w:r>
      <w:r w:rsidR="00651FD8" w:rsidRPr="00651FD8">
        <w:t>-elégtelenség gyanúja merül fel, megfelelő laboratóriumi vizsgálat javasolt, és mérlegelni kell a D</w:t>
      </w:r>
      <w:r w:rsidR="005D62BE">
        <w:t>urogesic-</w:t>
      </w:r>
      <w:r w:rsidR="00651FD8" w:rsidRPr="00651FD8">
        <w:t>kezelés abbahagyását.</w:t>
      </w:r>
    </w:p>
    <w:bookmarkEnd w:id="2"/>
    <w:p w14:paraId="6CEA5A33" w14:textId="77777777" w:rsidR="00F84318" w:rsidRDefault="00F84318" w:rsidP="007A627D">
      <w:pPr>
        <w:spacing w:line="240" w:lineRule="auto"/>
      </w:pPr>
    </w:p>
    <w:p w14:paraId="75934891" w14:textId="77777777" w:rsidR="00A25754" w:rsidRDefault="00A25754" w:rsidP="00A25754">
      <w:pPr>
        <w:spacing w:line="240" w:lineRule="auto"/>
        <w:ind w:left="567" w:hanging="567"/>
      </w:pPr>
      <w:r>
        <w:rPr>
          <w:b/>
        </w:rPr>
        <w:t>4.5</w:t>
      </w:r>
      <w:r>
        <w:rPr>
          <w:b/>
        </w:rPr>
        <w:tab/>
        <w:t>Gyógyszerkölcsönhatások és egyéb interakciók</w:t>
      </w:r>
    </w:p>
    <w:p w14:paraId="2E53CE33" w14:textId="77777777" w:rsidR="00A25754" w:rsidRDefault="00A25754" w:rsidP="00A25754">
      <w:pPr>
        <w:spacing w:line="240" w:lineRule="auto"/>
      </w:pPr>
    </w:p>
    <w:p w14:paraId="601A472D" w14:textId="77777777" w:rsidR="00A25754" w:rsidRPr="000E5BB4" w:rsidRDefault="00A25754" w:rsidP="00A25754">
      <w:pPr>
        <w:spacing w:line="240" w:lineRule="auto"/>
        <w:rPr>
          <w:u w:val="single"/>
        </w:rPr>
      </w:pPr>
      <w:r>
        <w:rPr>
          <w:u w:val="single"/>
        </w:rPr>
        <w:t>Farmakodinámiával összefüggő kölcsönhatások</w:t>
      </w:r>
    </w:p>
    <w:p w14:paraId="6B298294" w14:textId="77777777" w:rsidR="00A25754" w:rsidRPr="000E5BB4" w:rsidRDefault="00A25754" w:rsidP="00A25754">
      <w:pPr>
        <w:spacing w:line="240" w:lineRule="auto"/>
      </w:pPr>
    </w:p>
    <w:p w14:paraId="328363EC" w14:textId="77777777" w:rsidR="00A25754" w:rsidRPr="000E5BB4" w:rsidRDefault="00A25754" w:rsidP="00A25754">
      <w:pPr>
        <w:spacing w:line="240" w:lineRule="auto"/>
        <w:rPr>
          <w:i/>
          <w:u w:val="single"/>
        </w:rPr>
      </w:pPr>
      <w:r>
        <w:rPr>
          <w:i/>
          <w:u w:val="single"/>
        </w:rPr>
        <w:t>Centrálisan ható gyógyszerek</w:t>
      </w:r>
      <w:r w:rsidR="00892CCE">
        <w:rPr>
          <w:i/>
          <w:u w:val="single"/>
        </w:rPr>
        <w:t>/</w:t>
      </w:r>
      <w:r w:rsidR="00892CCE">
        <w:rPr>
          <w:i/>
          <w:szCs w:val="22"/>
          <w:u w:val="single"/>
        </w:rPr>
        <w:t>k</w:t>
      </w:r>
      <w:r w:rsidR="00892CCE" w:rsidRPr="001075BE">
        <w:rPr>
          <w:i/>
          <w:szCs w:val="22"/>
          <w:u w:val="single"/>
        </w:rPr>
        <w:t>özponti idegrendszeri depresszánsok</w:t>
      </w:r>
      <w:r w:rsidR="00892CCE">
        <w:rPr>
          <w:i/>
          <w:szCs w:val="22"/>
          <w:u w:val="single"/>
        </w:rPr>
        <w:t>,</w:t>
      </w:r>
      <w:r>
        <w:rPr>
          <w:i/>
          <w:u w:val="single"/>
        </w:rPr>
        <w:t xml:space="preserve"> </w:t>
      </w:r>
      <w:r w:rsidR="00892CCE" w:rsidRPr="001075BE">
        <w:rPr>
          <w:i/>
          <w:szCs w:val="22"/>
          <w:u w:val="single"/>
        </w:rPr>
        <w:t xml:space="preserve">beleértve az alkoholt és </w:t>
      </w:r>
      <w:r w:rsidR="00B93B42">
        <w:rPr>
          <w:i/>
          <w:szCs w:val="22"/>
          <w:u w:val="single"/>
        </w:rPr>
        <w:t xml:space="preserve">a </w:t>
      </w:r>
      <w:r w:rsidR="007A5EE6">
        <w:rPr>
          <w:i/>
          <w:szCs w:val="22"/>
          <w:u w:val="single"/>
        </w:rPr>
        <w:t>k</w:t>
      </w:r>
      <w:r w:rsidR="007A5EE6" w:rsidRPr="001075BE">
        <w:rPr>
          <w:i/>
          <w:szCs w:val="22"/>
          <w:u w:val="single"/>
        </w:rPr>
        <w:t>özponti idegrendszeri depresszáns</w:t>
      </w:r>
      <w:r w:rsidR="007A5EE6">
        <w:rPr>
          <w:i/>
          <w:szCs w:val="22"/>
          <w:u w:val="single"/>
        </w:rPr>
        <w:t xml:space="preserve"> </w:t>
      </w:r>
      <w:r w:rsidR="00892CCE" w:rsidRPr="001075BE">
        <w:rPr>
          <w:i/>
          <w:szCs w:val="22"/>
          <w:u w:val="single"/>
        </w:rPr>
        <w:t>narkotikumo</w:t>
      </w:r>
      <w:r w:rsidR="00950961">
        <w:rPr>
          <w:i/>
          <w:szCs w:val="22"/>
          <w:u w:val="single"/>
        </w:rPr>
        <w:t>ka</w:t>
      </w:r>
      <w:r w:rsidR="00892CCE" w:rsidRPr="001075BE">
        <w:rPr>
          <w:i/>
          <w:szCs w:val="22"/>
          <w:u w:val="single"/>
        </w:rPr>
        <w:t>t</w:t>
      </w:r>
    </w:p>
    <w:p w14:paraId="759D2DD2" w14:textId="77777777" w:rsidR="00A25754" w:rsidRDefault="00892CCE" w:rsidP="00A25754">
      <w:pPr>
        <w:spacing w:line="240" w:lineRule="auto"/>
      </w:pPr>
      <w:r>
        <w:rPr>
          <w:szCs w:val="22"/>
        </w:rPr>
        <w:t xml:space="preserve">A DUROGESIC egyidejű alkalmazása </w:t>
      </w:r>
      <w:r>
        <w:t>m</w:t>
      </w:r>
      <w:r w:rsidR="00A25754">
        <w:t xml:space="preserve">ás központi idegrendszeri depresszánsokkal (beleértve a </w:t>
      </w:r>
      <w:r>
        <w:rPr>
          <w:szCs w:val="22"/>
        </w:rPr>
        <w:t>benzodiazepineket</w:t>
      </w:r>
      <w:r>
        <w:t xml:space="preserve"> és más</w:t>
      </w:r>
      <w:r w:rsidR="00A25754">
        <w:t xml:space="preserve"> nyugtatókat</w:t>
      </w:r>
      <w:r>
        <w:t>/</w:t>
      </w:r>
      <w:r w:rsidR="00A25754">
        <w:t xml:space="preserve">altatókat, </w:t>
      </w:r>
      <w:r>
        <w:t xml:space="preserve">opioidokat, </w:t>
      </w:r>
      <w:r w:rsidR="00A25754">
        <w:t>általános érzéstelenítőket, fenotiazinokat, trankvillánsokat, szedatív antihisztaminokat</w:t>
      </w:r>
      <w:r w:rsidR="00B93B42">
        <w:t>,</w:t>
      </w:r>
      <w:r w:rsidR="00A25754">
        <w:t xml:space="preserve"> alkoholt</w:t>
      </w:r>
      <w:r w:rsidR="00B93B42">
        <w:t xml:space="preserve"> és </w:t>
      </w:r>
      <w:r w:rsidR="007A5EE6">
        <w:t>köz</w:t>
      </w:r>
      <w:r w:rsidR="00D709B3">
        <w:t xml:space="preserve">ponti idegrendszeri depresszáns </w:t>
      </w:r>
      <w:r w:rsidR="00B93B42">
        <w:t>narkotikumokat</w:t>
      </w:r>
      <w:r w:rsidR="00A25754">
        <w:t>)</w:t>
      </w:r>
      <w:r w:rsidR="00C95BE8">
        <w:t>,</w:t>
      </w:r>
      <w:r w:rsidR="00A25754">
        <w:t xml:space="preserve"> </w:t>
      </w:r>
      <w:r w:rsidR="00815086">
        <w:t>váz</w:t>
      </w:r>
      <w:r w:rsidR="00A25754">
        <w:t>izomrelaxánsokkal</w:t>
      </w:r>
      <w:r w:rsidR="00C95BE8">
        <w:t xml:space="preserve"> </w:t>
      </w:r>
      <w:r w:rsidR="00C95BE8" w:rsidRPr="001B55EB">
        <w:rPr>
          <w:bCs/>
          <w:szCs w:val="22"/>
        </w:rPr>
        <w:t>és gabapentinoidokkal (gabapentin és pregabalin)</w:t>
      </w:r>
      <w:r w:rsidR="00A25754">
        <w:t xml:space="preserve"> </w:t>
      </w:r>
      <w:r w:rsidR="00B93B42" w:rsidRPr="00B93B42">
        <w:t>légzésdepresszió</w:t>
      </w:r>
      <w:r w:rsidR="005E4291">
        <w:t>t</w:t>
      </w:r>
      <w:r w:rsidR="00B93B42">
        <w:t>,</w:t>
      </w:r>
      <w:r w:rsidR="00B93B42" w:rsidRPr="00B93B42">
        <w:t xml:space="preserve"> </w:t>
      </w:r>
      <w:r w:rsidR="005E4291">
        <w:t>hypo</w:t>
      </w:r>
      <w:r w:rsidR="00C95BE8">
        <w:t>tensiót</w:t>
      </w:r>
      <w:r w:rsidR="00B93B42">
        <w:t xml:space="preserve">, </w:t>
      </w:r>
      <w:r w:rsidR="00B93B42" w:rsidRPr="00B93B42">
        <w:t>mély sedati</w:t>
      </w:r>
      <w:r w:rsidR="005E4291">
        <w:t>ót</w:t>
      </w:r>
      <w:r w:rsidR="00B93B42" w:rsidRPr="00B93B42">
        <w:t xml:space="preserve">, </w:t>
      </w:r>
      <w:r w:rsidR="005E4291">
        <w:t xml:space="preserve">comát </w:t>
      </w:r>
      <w:r w:rsidR="00B93B42">
        <w:t>vagy halál</w:t>
      </w:r>
      <w:r w:rsidR="005E4291">
        <w:t xml:space="preserve">t </w:t>
      </w:r>
      <w:r w:rsidR="00C95BE8">
        <w:t>okozhat</w:t>
      </w:r>
      <w:r w:rsidR="00A25754">
        <w:t xml:space="preserve">. </w:t>
      </w:r>
      <w:r w:rsidR="005E4291">
        <w:t>A DUROGESIC központi idegrendszeri depresszánsokkal történő egyidejű felírását az olyan betegek számára kell megtartani, akiknél nem lehetségesek alternatív terápiás lehetőségek. A fenti gyógyszerek bármelyikének DUROGESIC</w:t>
      </w:r>
      <w:r w:rsidR="005E4291">
        <w:noBreakHyphen/>
        <w:t>kel történő együttes alkalmazása szoros monitorozást és obszervációt igényel. A dózist és az egyidejű alkalmazása időtartamát korlátozni kell (lásd 4.4 pont)</w:t>
      </w:r>
      <w:r w:rsidR="00A25754">
        <w:t>.</w:t>
      </w:r>
    </w:p>
    <w:p w14:paraId="29F3D05E" w14:textId="77777777" w:rsidR="00A25754" w:rsidRDefault="00A25754" w:rsidP="00A25754">
      <w:pPr>
        <w:spacing w:line="240" w:lineRule="auto"/>
        <w:rPr>
          <w:i/>
          <w:u w:val="single"/>
        </w:rPr>
      </w:pPr>
    </w:p>
    <w:p w14:paraId="098D8264" w14:textId="77777777" w:rsidR="00A25754" w:rsidRPr="000E5BB4" w:rsidRDefault="00A25754" w:rsidP="00A25754">
      <w:pPr>
        <w:spacing w:line="240" w:lineRule="auto"/>
        <w:rPr>
          <w:i/>
          <w:u w:val="single"/>
        </w:rPr>
      </w:pPr>
      <w:r>
        <w:rPr>
          <w:i/>
          <w:u w:val="single"/>
        </w:rPr>
        <w:t>Monoaminoxidáz</w:t>
      </w:r>
      <w:r w:rsidR="00EB441D">
        <w:rPr>
          <w:i/>
          <w:u w:val="single"/>
        </w:rPr>
        <w:noBreakHyphen/>
      </w:r>
      <w:r>
        <w:rPr>
          <w:i/>
          <w:u w:val="single"/>
        </w:rPr>
        <w:t>inhibitorok (MAO</w:t>
      </w:r>
      <w:r w:rsidR="00EB441D">
        <w:rPr>
          <w:i/>
          <w:u w:val="single"/>
        </w:rPr>
        <w:noBreakHyphen/>
      </w:r>
      <w:r w:rsidR="00D445B6">
        <w:rPr>
          <w:i/>
          <w:u w:val="single"/>
        </w:rPr>
        <w:t>gátló</w:t>
      </w:r>
      <w:r>
        <w:rPr>
          <w:i/>
          <w:u w:val="single"/>
        </w:rPr>
        <w:t>k)</w:t>
      </w:r>
    </w:p>
    <w:p w14:paraId="14CFDA72" w14:textId="77777777" w:rsidR="00A25754" w:rsidRPr="000E5BB4" w:rsidRDefault="00A25754" w:rsidP="00A25754">
      <w:pPr>
        <w:spacing w:line="240" w:lineRule="auto"/>
      </w:pPr>
      <w:r>
        <w:t>A DUROGESIC alkalmazása nem ajánlott az olyan betegeknél, akiknél egyidejűleg MAO</w:t>
      </w:r>
      <w:r w:rsidR="00EB441D">
        <w:noBreakHyphen/>
      </w:r>
      <w:r>
        <w:t>gátló alkalmazása szükséges.</w:t>
      </w:r>
      <w:r w:rsidR="00225876">
        <w:t xml:space="preserve"> </w:t>
      </w:r>
      <w:r>
        <w:t>MAO</w:t>
      </w:r>
      <w:r w:rsidR="00EB441D">
        <w:noBreakHyphen/>
      </w:r>
      <w:r>
        <w:t>gátlókkal súlyos és kiszámíthatatlan kölcsönhatásokat jelentettek, köztük az opioid hatások potencírozását vagy a szerotoninerg hatások potencírozását.</w:t>
      </w:r>
      <w:r w:rsidR="00225876">
        <w:t xml:space="preserve"> </w:t>
      </w:r>
      <w:r w:rsidR="005E4291">
        <w:t>A</w:t>
      </w:r>
      <w:r>
        <w:t xml:space="preserve"> DUROGESIC nem adható a MAO</w:t>
      </w:r>
      <w:r w:rsidR="00EB441D">
        <w:noBreakHyphen/>
      </w:r>
      <w:r>
        <w:t>gátló kezelés felfüggesztését követő 14</w:t>
      </w:r>
      <w:r w:rsidR="00336277">
        <w:t> </w:t>
      </w:r>
      <w:r>
        <w:t>napon belül.</w:t>
      </w:r>
    </w:p>
    <w:p w14:paraId="04FC1006" w14:textId="77777777" w:rsidR="00A25754" w:rsidRPr="000E5BB4" w:rsidRDefault="00A25754" w:rsidP="00A25754">
      <w:pPr>
        <w:spacing w:line="240" w:lineRule="auto"/>
        <w:rPr>
          <w:i/>
          <w:u w:val="single"/>
        </w:rPr>
      </w:pPr>
    </w:p>
    <w:p w14:paraId="54FF6A07" w14:textId="77777777" w:rsidR="00A25754" w:rsidRPr="000E5BB4" w:rsidRDefault="00A25754" w:rsidP="00A25754">
      <w:pPr>
        <w:spacing w:line="240" w:lineRule="auto"/>
        <w:rPr>
          <w:i/>
          <w:u w:val="single"/>
        </w:rPr>
      </w:pPr>
      <w:r>
        <w:rPr>
          <w:i/>
          <w:u w:val="single"/>
        </w:rPr>
        <w:t>Szerotonerg gyógyszerek</w:t>
      </w:r>
    </w:p>
    <w:p w14:paraId="6593830E" w14:textId="77777777" w:rsidR="00A25754" w:rsidRPr="000E5BB4" w:rsidRDefault="00A25754" w:rsidP="00A25754">
      <w:pPr>
        <w:spacing w:line="240" w:lineRule="auto"/>
      </w:pPr>
      <w:r>
        <w:t>A fentanil és a szerotonerg gyógyszerek, mint például a szelektív szerotonin</w:t>
      </w:r>
      <w:r w:rsidR="003E5448">
        <w:t>visszavétel-</w:t>
      </w:r>
      <w:r>
        <w:t xml:space="preserve">gátlók (SSRI) és szerotonin/noradrenalin </w:t>
      </w:r>
      <w:r w:rsidR="003E5448">
        <w:t>visszavétel</w:t>
      </w:r>
      <w:r>
        <w:t>gátlók (SNRI) vagy a monoaminoxidáz</w:t>
      </w:r>
      <w:r w:rsidR="00EB441D">
        <w:noBreakHyphen/>
      </w:r>
      <w:r>
        <w:t>inhibitorok (MAO</w:t>
      </w:r>
      <w:r w:rsidR="00EB441D">
        <w:noBreakHyphen/>
      </w:r>
      <w:r>
        <w:t>gátlók) egyidejű alkalmazása növelheti a potenciálisan életveszélyes állapot, a szerotonin</w:t>
      </w:r>
      <w:r w:rsidR="003E5448">
        <w:t>-</w:t>
      </w:r>
      <w:r>
        <w:t>szindróma kockázatát.</w:t>
      </w:r>
      <w:r w:rsidR="005E4291">
        <w:t xml:space="preserve"> Egyidejű alkalmazásakor elővigyázatosság szükséges. A beteget gondos </w:t>
      </w:r>
      <w:r w:rsidR="00CF3E7D">
        <w:t>megfigyelés alatt kell tartani</w:t>
      </w:r>
      <w:r w:rsidR="005E4291">
        <w:t>, különösen a kezelés elkezdésekor és az adagolás módosításakor (lásd 4.4 pont).</w:t>
      </w:r>
    </w:p>
    <w:p w14:paraId="67179B3B" w14:textId="77777777" w:rsidR="00A25754" w:rsidRPr="000E5BB4" w:rsidRDefault="00A25754" w:rsidP="00A25754">
      <w:pPr>
        <w:spacing w:line="240" w:lineRule="auto"/>
        <w:rPr>
          <w:i/>
        </w:rPr>
      </w:pPr>
    </w:p>
    <w:p w14:paraId="0FAB1CE6" w14:textId="77777777" w:rsidR="00A25754" w:rsidRPr="000E5BB4" w:rsidRDefault="00A25754" w:rsidP="00A25754">
      <w:pPr>
        <w:spacing w:line="240" w:lineRule="auto"/>
        <w:rPr>
          <w:i/>
          <w:u w:val="single"/>
        </w:rPr>
      </w:pPr>
      <w:r>
        <w:rPr>
          <w:i/>
          <w:u w:val="single"/>
        </w:rPr>
        <w:t>Kevert opioid agonistákkal/antagonistákkal való együttadás</w:t>
      </w:r>
    </w:p>
    <w:p w14:paraId="32805DB3" w14:textId="77777777" w:rsidR="00A25754" w:rsidRPr="000E5BB4" w:rsidRDefault="00A25754" w:rsidP="00A25754">
      <w:pPr>
        <w:spacing w:line="240" w:lineRule="auto"/>
      </w:pPr>
      <w:r>
        <w:t>Buprenorfinnal, nalbufinnal vagy pentazocinnal való egyidejű alkalmazás nem javasolt. Ezeknek nagy az affinitása az opioid receptorok iránt, de intrinsic aktivitásuk relatíve kicsi, ezért részlegesen antagonizálják a fentanil fájdalomcsillapító hatását, és az opioid</w:t>
      </w:r>
      <w:r w:rsidR="00EB441D">
        <w:noBreakHyphen/>
      </w:r>
      <w:r>
        <w:t>dependens betegeknél megvonási tüneteket válthatnak ki (lásd 4.4</w:t>
      </w:r>
      <w:r w:rsidR="00456B89">
        <w:t> pont</w:t>
      </w:r>
      <w:r>
        <w:t>).</w:t>
      </w:r>
    </w:p>
    <w:p w14:paraId="01977412" w14:textId="77777777" w:rsidR="00A25754" w:rsidRPr="000E5BB4" w:rsidRDefault="00A25754" w:rsidP="00A25754">
      <w:pPr>
        <w:spacing w:line="240" w:lineRule="auto"/>
      </w:pPr>
    </w:p>
    <w:p w14:paraId="2A4C9A6D" w14:textId="77777777" w:rsidR="00A25754" w:rsidRPr="0018389C" w:rsidRDefault="00A25754" w:rsidP="00A25754">
      <w:pPr>
        <w:spacing w:line="240" w:lineRule="auto"/>
        <w:rPr>
          <w:u w:val="single"/>
        </w:rPr>
      </w:pPr>
      <w:r>
        <w:rPr>
          <w:u w:val="single"/>
        </w:rPr>
        <w:t>Farmakokinetikával összefüggő kölcsönhatások</w:t>
      </w:r>
    </w:p>
    <w:p w14:paraId="57CD10CD" w14:textId="77777777" w:rsidR="00A25754" w:rsidRDefault="00A25754" w:rsidP="00A25754">
      <w:pPr>
        <w:spacing w:line="240" w:lineRule="auto"/>
      </w:pPr>
    </w:p>
    <w:p w14:paraId="710A7F92" w14:textId="77777777" w:rsidR="00A25754" w:rsidRPr="000E5BB4" w:rsidRDefault="00C320C2" w:rsidP="00A25754">
      <w:pPr>
        <w:spacing w:line="240" w:lineRule="auto"/>
        <w:rPr>
          <w:i/>
          <w:u w:val="single"/>
        </w:rPr>
      </w:pPr>
      <w:r w:rsidRPr="007C6FCD">
        <w:rPr>
          <w:i/>
          <w:u w:val="single"/>
        </w:rPr>
        <w:t>C</w:t>
      </w:r>
      <w:r>
        <w:rPr>
          <w:i/>
          <w:u w:val="single"/>
        </w:rPr>
        <w:t>itokróm</w:t>
      </w:r>
      <w:r w:rsidR="004D72F9">
        <w:rPr>
          <w:i/>
          <w:u w:val="single"/>
        </w:rPr>
        <w:t xml:space="preserve"> P450 </w:t>
      </w:r>
      <w:r w:rsidRPr="007C6FCD">
        <w:rPr>
          <w:i/>
          <w:u w:val="single"/>
        </w:rPr>
        <w:t>3A4</w:t>
      </w:r>
      <w:r w:rsidR="00927851">
        <w:rPr>
          <w:i/>
          <w:u w:val="single"/>
        </w:rPr>
        <w:t>-</w:t>
      </w:r>
      <w:r w:rsidRPr="007C6FCD">
        <w:rPr>
          <w:i/>
          <w:u w:val="single"/>
        </w:rPr>
        <w:t xml:space="preserve"> </w:t>
      </w:r>
      <w:r>
        <w:rPr>
          <w:i/>
          <w:u w:val="single"/>
        </w:rPr>
        <w:t>(</w:t>
      </w:r>
      <w:r w:rsidR="00A25754" w:rsidRPr="00B340B5">
        <w:rPr>
          <w:i/>
          <w:u w:val="single"/>
        </w:rPr>
        <w:t>CYP3A4</w:t>
      </w:r>
      <w:r>
        <w:rPr>
          <w:i/>
          <w:u w:val="single"/>
        </w:rPr>
        <w:t>)</w:t>
      </w:r>
      <w:r w:rsidR="00927851">
        <w:rPr>
          <w:i/>
          <w:u w:val="single"/>
        </w:rPr>
        <w:t xml:space="preserve"> </w:t>
      </w:r>
      <w:r w:rsidR="00A25754" w:rsidRPr="00B340B5">
        <w:rPr>
          <w:i/>
          <w:u w:val="single"/>
        </w:rPr>
        <w:t>inhibitorok</w:t>
      </w:r>
    </w:p>
    <w:p w14:paraId="3ACCE632" w14:textId="77777777" w:rsidR="00A25754" w:rsidRDefault="00A25754" w:rsidP="00A25754">
      <w:pPr>
        <w:spacing w:line="240" w:lineRule="auto"/>
      </w:pPr>
      <w:r>
        <w:t>A magas clearance</w:t>
      </w:r>
      <w:r w:rsidR="00EB441D">
        <w:noBreakHyphen/>
      </w:r>
      <w:r>
        <w:t>ű hatóanyagot, a fentanilt a CYP3A4 gyorsan és nagymértékben metabolizálja.</w:t>
      </w:r>
    </w:p>
    <w:p w14:paraId="61A7E434" w14:textId="77777777" w:rsidR="00A25754" w:rsidRDefault="00A25754" w:rsidP="00A25754">
      <w:pPr>
        <w:spacing w:line="240" w:lineRule="auto"/>
      </w:pPr>
    </w:p>
    <w:p w14:paraId="00EA8925" w14:textId="77777777" w:rsidR="00904370" w:rsidRDefault="00A25754" w:rsidP="00A25754">
      <w:pPr>
        <w:spacing w:line="240" w:lineRule="auto"/>
      </w:pPr>
      <w:r>
        <w:t>A DUROGESIC és a citokróm P450 3A4</w:t>
      </w:r>
      <w:r w:rsidR="00336277">
        <w:t> </w:t>
      </w:r>
      <w:r>
        <w:t>(CYP3A4) gátlóinak együttes adása a fentanil plazmakoncentrációjának emelkedését eredményezheti, ami fokozhatja vagy meghosszabbíthatja mind a terápiás</w:t>
      </w:r>
      <w:r w:rsidR="00EB441D">
        <w:noBreakHyphen/>
      </w:r>
      <w:r>
        <w:t>, mind a mellékhatásokat, és súlyos légzésdepressziót okozhat. Az erős CYP3A4</w:t>
      </w:r>
      <w:r w:rsidR="00EB441D">
        <w:noBreakHyphen/>
      </w:r>
      <w:r>
        <w:t>inhibitorokkal való kölcsönhatás mértéke várhatóan nagyobb, mint a gyenge vagy a közepesen erős CYP3A4</w:t>
      </w:r>
      <w:r w:rsidR="00EB441D">
        <w:noBreakHyphen/>
      </w:r>
      <w:r>
        <w:t>inhibitorok esetén várható. A CYP3A4</w:t>
      </w:r>
      <w:r w:rsidR="00EB441D">
        <w:noBreakHyphen/>
      </w:r>
      <w:r>
        <w:t>inhibitorok és a transzdermális fentanil egyidejű alkalmazását követően súlyos légzésdepresszió eseteiről számoltak be, beleértve egy végzetes kimenetelű esetet is, egy közepesen erős CYP3A4</w:t>
      </w:r>
      <w:r w:rsidR="00EB441D">
        <w:noBreakHyphen/>
      </w:r>
      <w:r>
        <w:t xml:space="preserve">inhibitor egyidejű alkalmazása után. </w:t>
      </w:r>
    </w:p>
    <w:p w14:paraId="409BF349" w14:textId="77777777" w:rsidR="00A25754" w:rsidRPr="000E5BB4" w:rsidRDefault="00A25754" w:rsidP="00A25754">
      <w:pPr>
        <w:spacing w:line="240" w:lineRule="auto"/>
      </w:pPr>
      <w:r>
        <w:t>A DUROGESIC és a CYP3A4</w:t>
      </w:r>
      <w:r w:rsidR="00EB441D">
        <w:noBreakHyphen/>
      </w:r>
      <w:r>
        <w:t>inhibitorok egyidejű alkalmazása nem javasol</w:t>
      </w:r>
      <w:r w:rsidR="00D445B6">
        <w:t>t</w:t>
      </w:r>
      <w:r w:rsidR="00904370">
        <w:t>, kivéve</w:t>
      </w:r>
      <w:r w:rsidR="003E5448">
        <w:t>,</w:t>
      </w:r>
      <w:r w:rsidR="00904370">
        <w:t xml:space="preserve"> ha a beteg szoros monitorozás alatt áll</w:t>
      </w:r>
      <w:r>
        <w:t xml:space="preserve"> (lásd 4.4</w:t>
      </w:r>
      <w:r w:rsidR="00456B89">
        <w:t> pont</w:t>
      </w:r>
      <w:r>
        <w:t>). A fentanil</w:t>
      </w:r>
      <w:r w:rsidR="00EB441D">
        <w:noBreakHyphen/>
      </w:r>
      <w:r>
        <w:t>koncentráció</w:t>
      </w:r>
      <w:r w:rsidR="00272D52">
        <w:t>t</w:t>
      </w:r>
      <w:r>
        <w:t xml:space="preserve"> esetleg növelő </w:t>
      </w:r>
      <w:r w:rsidR="002D3C83">
        <w:t>hatóanyag</w:t>
      </w:r>
      <w:r w:rsidR="00835E90">
        <w:t xml:space="preserve"> </w:t>
      </w:r>
      <w:r>
        <w:t>példá</w:t>
      </w:r>
      <w:r w:rsidR="00FC7246">
        <w:t>ul</w:t>
      </w:r>
      <w:r>
        <w:t xml:space="preserve"> az amiodaron, cimetidin, klaritromicin, diltiazem, eritromicin, flukonazol, itrakonazol, ketokonazol, nefazodon, ritonavir, verapamil és vorikonazol (a felsorolás nem teljes). A gyenge, közepesen erős vagy erős CYP3A4</w:t>
      </w:r>
      <w:r w:rsidR="00EB441D">
        <w:noBreakHyphen/>
      </w:r>
      <w:r>
        <w:t>inhibitorok és a fentanil rövid ideig tartó, egyidejű intravénás alkalmazása után a fentanil</w:t>
      </w:r>
      <w:r w:rsidR="00EB441D">
        <w:noBreakHyphen/>
      </w:r>
      <w:r>
        <w:t xml:space="preserve">clearance általában </w:t>
      </w:r>
      <w:r>
        <w:rPr>
          <w:cs/>
        </w:rPr>
        <w:t>≤</w:t>
      </w:r>
      <w:r w:rsidR="00DC4D80">
        <w:rPr>
          <w:rFonts w:hint="cs"/>
          <w:cs/>
        </w:rPr>
        <w:t> </w:t>
      </w:r>
      <w:r>
        <w:t>25%</w:t>
      </w:r>
      <w:r w:rsidR="00EB441D">
        <w:noBreakHyphen/>
      </w:r>
      <w:r>
        <w:t>kal csökkent, ugyanakkor a ritonavir (egy erős CYP3A4</w:t>
      </w:r>
      <w:r w:rsidR="00EB441D">
        <w:noBreakHyphen/>
      </w:r>
      <w:r>
        <w:t>inhibitor) mellett a fentanil</w:t>
      </w:r>
      <w:r w:rsidR="00EB441D">
        <w:noBreakHyphen/>
      </w:r>
      <w:r>
        <w:t>clearance átlagosan 67%</w:t>
      </w:r>
      <w:r w:rsidR="00EB441D">
        <w:noBreakHyphen/>
      </w:r>
      <w:r>
        <w:t>kal csökkent. A CYP3A4</w:t>
      </w:r>
      <w:r w:rsidR="00EB441D">
        <w:noBreakHyphen/>
      </w:r>
      <w:r>
        <w:t>inhibitorok és a hosszan tartó transzdermális fentanil</w:t>
      </w:r>
      <w:r w:rsidR="00FC7246">
        <w:t>-</w:t>
      </w:r>
      <w:r>
        <w:t>alkalmazás közötti kölcsönhatás mértéke nem ismert, de nagyobb lehet, mint a rövid ideig tartó intravénás alkalmazás esetén.</w:t>
      </w:r>
    </w:p>
    <w:p w14:paraId="39D0FCC1" w14:textId="77777777" w:rsidR="00A25754" w:rsidRPr="000E5BB4" w:rsidRDefault="00A25754" w:rsidP="00A25754">
      <w:pPr>
        <w:spacing w:line="240" w:lineRule="auto"/>
      </w:pPr>
    </w:p>
    <w:p w14:paraId="217D5720" w14:textId="77777777" w:rsidR="00A25754" w:rsidRPr="000E5BB4" w:rsidRDefault="00C320C2" w:rsidP="00A25754">
      <w:pPr>
        <w:spacing w:line="240" w:lineRule="auto"/>
        <w:rPr>
          <w:i/>
          <w:u w:val="single"/>
        </w:rPr>
      </w:pPr>
      <w:r>
        <w:rPr>
          <w:i/>
          <w:u w:val="single"/>
        </w:rPr>
        <w:t>Citokróm</w:t>
      </w:r>
      <w:r w:rsidR="004D72F9">
        <w:rPr>
          <w:i/>
          <w:u w:val="single"/>
        </w:rPr>
        <w:t xml:space="preserve"> P450 </w:t>
      </w:r>
      <w:r w:rsidRPr="007C6FCD">
        <w:rPr>
          <w:i/>
          <w:u w:val="single"/>
        </w:rPr>
        <w:t>3A4</w:t>
      </w:r>
      <w:r w:rsidR="00927851">
        <w:rPr>
          <w:i/>
          <w:u w:val="single"/>
        </w:rPr>
        <w:t>-</w:t>
      </w:r>
      <w:r w:rsidRPr="007C6FCD">
        <w:rPr>
          <w:i/>
          <w:u w:val="single"/>
        </w:rPr>
        <w:t xml:space="preserve"> </w:t>
      </w:r>
      <w:r>
        <w:rPr>
          <w:i/>
          <w:u w:val="single"/>
        </w:rPr>
        <w:t>(</w:t>
      </w:r>
      <w:r w:rsidR="00A25754">
        <w:rPr>
          <w:i/>
          <w:u w:val="single"/>
        </w:rPr>
        <w:t>CYP3A4</w:t>
      </w:r>
      <w:r>
        <w:rPr>
          <w:i/>
          <w:u w:val="single"/>
        </w:rPr>
        <w:t>)</w:t>
      </w:r>
      <w:r w:rsidR="00927851">
        <w:rPr>
          <w:i/>
          <w:u w:val="single"/>
        </w:rPr>
        <w:t xml:space="preserve"> </w:t>
      </w:r>
      <w:r w:rsidR="00A25754">
        <w:rPr>
          <w:i/>
          <w:u w:val="single"/>
        </w:rPr>
        <w:t>induktorok</w:t>
      </w:r>
    </w:p>
    <w:p w14:paraId="60842663" w14:textId="77777777" w:rsidR="00A25754" w:rsidRDefault="00A25754" w:rsidP="00A25754">
      <w:pPr>
        <w:spacing w:line="240" w:lineRule="auto"/>
      </w:pPr>
      <w:r>
        <w:t>A transzdermális fentanil CYP3A4</w:t>
      </w:r>
      <w:r w:rsidR="00EB441D">
        <w:noBreakHyphen/>
      </w:r>
      <w:r>
        <w:t>induktorokkal történő egyidejű alkalmazása a fentanil plazmakoncentrációjának és terápiás hatásának a csökkenését okozhatja.</w:t>
      </w:r>
      <w:r w:rsidR="00225876">
        <w:t xml:space="preserve"> </w:t>
      </w:r>
      <w:r>
        <w:t>A CYP3A4</w:t>
      </w:r>
      <w:r w:rsidR="00EB441D">
        <w:noBreakHyphen/>
      </w:r>
      <w:r>
        <w:t>induktorok és a DUROGESIC egyidejű alkalmazása esetén elővigyázatosság javasolt. A DUROGESIC dózisának emelésére vagy egy másik fájdalomcsillapító hatóanyagra történő átállításra lehet szükség. Az egyidejű CYP3A4</w:t>
      </w:r>
      <w:r w:rsidR="00EB441D">
        <w:noBreakHyphen/>
      </w:r>
      <w:r>
        <w:t>induktorral végzett kezelés várható leállítása előtt a fentanil adagjának csökkentése és gondos monitorozás indokolt</w:t>
      </w:r>
      <w:r w:rsidR="00336277">
        <w:t>.</w:t>
      </w:r>
      <w:r>
        <w:t xml:space="preserve"> Az induktor hatásának fokozatos csökkenése a fentanil plazmakoncentrációjának emelkedését eredményezheti, ami fokozhatja vagy meghosszabbíthatja mind a terápiás</w:t>
      </w:r>
      <w:r w:rsidR="00EB441D">
        <w:noBreakHyphen/>
      </w:r>
      <w:r>
        <w:t>, mind a mellékhatásokat, és súlyos légzésdepressziót okozhat. A stabil gyógyszerhatás eléréséig gondos monitorozás szükséges. A fentanil</w:t>
      </w:r>
      <w:r w:rsidR="00EB441D">
        <w:noBreakHyphen/>
      </w:r>
      <w:r>
        <w:t>koncentráció</w:t>
      </w:r>
      <w:r w:rsidR="00272D52">
        <w:t>t</w:t>
      </w:r>
      <w:r>
        <w:t xml:space="preserve"> esetleg csökkentő </w:t>
      </w:r>
      <w:r w:rsidR="00435266">
        <w:t>hatóanyag</w:t>
      </w:r>
      <w:r w:rsidR="00272D52">
        <w:t xml:space="preserve"> </w:t>
      </w:r>
      <w:r>
        <w:t>példá</w:t>
      </w:r>
      <w:r w:rsidR="00272D52">
        <w:t>ul</w:t>
      </w:r>
      <w:r>
        <w:t xml:space="preserve"> a karbamazepin, fenobarbitál, fenitoin és rifampicin (a felsorolás nem teljes).</w:t>
      </w:r>
    </w:p>
    <w:p w14:paraId="48C193E8" w14:textId="77777777" w:rsidR="00A25754" w:rsidRDefault="00A25754" w:rsidP="00A25754">
      <w:pPr>
        <w:spacing w:line="240" w:lineRule="auto"/>
        <w:rPr>
          <w:i/>
          <w:u w:val="single"/>
        </w:rPr>
      </w:pPr>
    </w:p>
    <w:p w14:paraId="4554135B" w14:textId="77777777" w:rsidR="00A25754" w:rsidRDefault="00A25754" w:rsidP="00A25754">
      <w:pPr>
        <w:spacing w:line="240" w:lineRule="auto"/>
        <w:rPr>
          <w:szCs w:val="22"/>
          <w:u w:val="single"/>
        </w:rPr>
      </w:pPr>
      <w:r>
        <w:rPr>
          <w:u w:val="single"/>
        </w:rPr>
        <w:t>Gyermekek és serdülők</w:t>
      </w:r>
    </w:p>
    <w:p w14:paraId="45776F5D" w14:textId="77777777" w:rsidR="00A25754" w:rsidRDefault="00A25754" w:rsidP="00A25754">
      <w:pPr>
        <w:spacing w:line="240" w:lineRule="auto"/>
      </w:pPr>
      <w:r>
        <w:t>Interakciós vizsgálatokat csak felnőttek körében végeztek.</w:t>
      </w:r>
    </w:p>
    <w:p w14:paraId="11F80C71" w14:textId="77777777" w:rsidR="00A25754" w:rsidRDefault="00A25754" w:rsidP="00A25754">
      <w:pPr>
        <w:spacing w:line="240" w:lineRule="auto"/>
      </w:pPr>
    </w:p>
    <w:p w14:paraId="740213BA" w14:textId="77777777" w:rsidR="00A25754" w:rsidRDefault="00A25754" w:rsidP="003D686B">
      <w:pPr>
        <w:keepNext/>
        <w:spacing w:line="240" w:lineRule="auto"/>
        <w:ind w:left="567" w:hanging="567"/>
      </w:pPr>
      <w:r>
        <w:rPr>
          <w:b/>
        </w:rPr>
        <w:t>4.6</w:t>
      </w:r>
      <w:r>
        <w:rPr>
          <w:b/>
        </w:rPr>
        <w:tab/>
        <w:t>Termékenység, terhesség és szoptatás</w:t>
      </w:r>
    </w:p>
    <w:p w14:paraId="0EBBCE1E" w14:textId="77777777" w:rsidR="00A25754" w:rsidRPr="000C1913" w:rsidRDefault="00A25754" w:rsidP="003D686B">
      <w:pPr>
        <w:keepNext/>
        <w:spacing w:line="240" w:lineRule="auto"/>
        <w:rPr>
          <w:i/>
        </w:rPr>
      </w:pPr>
    </w:p>
    <w:p w14:paraId="55DF1F00" w14:textId="77777777" w:rsidR="00A25754" w:rsidRDefault="00A25754" w:rsidP="003D686B">
      <w:pPr>
        <w:keepNext/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u w:val="single"/>
        </w:rPr>
        <w:t>Terhesség</w:t>
      </w:r>
    </w:p>
    <w:p w14:paraId="6BB5357D" w14:textId="77777777" w:rsidR="00A25754" w:rsidRPr="00F651DA" w:rsidRDefault="00A25754" w:rsidP="003D686B">
      <w:pPr>
        <w:keepNext/>
        <w:tabs>
          <w:tab w:val="clear" w:pos="567"/>
        </w:tabs>
        <w:spacing w:line="240" w:lineRule="auto"/>
        <w:rPr>
          <w:szCs w:val="22"/>
        </w:rPr>
      </w:pPr>
      <w:r>
        <w:t>Terhes nőkön történő alkalmazásra nincs megfelelő adat a DUROGESIC tekintetében. Az állatokon végzett kísérletek néhány reprodukciós toxicitást mutattak (lásd 5.3</w:t>
      </w:r>
      <w:r w:rsidR="00456B89">
        <w:t> pont</w:t>
      </w:r>
      <w:r>
        <w:t>). Emberben a potenciális veszély nem ismert, bár kimutatták, hogy a fentanil, mint intravénás anaestheticum humán terhességekben átjut a placentán.</w:t>
      </w:r>
      <w:r w:rsidR="00225876">
        <w:t xml:space="preserve"> </w:t>
      </w:r>
      <w:r>
        <w:t>Terhesség alatt tartósan DUROGESIC</w:t>
      </w:r>
      <w:r w:rsidR="00EB441D">
        <w:noBreakHyphen/>
      </w:r>
      <w:r>
        <w:t>et használó anyák újszülött csecsemőinél neonatális megvonási szindrómáról számoltak be. A DUROGESIC</w:t>
      </w:r>
      <w:r w:rsidR="00EB441D">
        <w:noBreakHyphen/>
      </w:r>
      <w:r>
        <w:t>et a terhesség ideje alatt nem szabad alkalmazni, csak akkor, ha erre egyértelműen szükség van.</w:t>
      </w:r>
    </w:p>
    <w:p w14:paraId="21D1EB3B" w14:textId="77777777" w:rsidR="00A25754" w:rsidRPr="00F651DA" w:rsidRDefault="00A25754" w:rsidP="00A25754">
      <w:pPr>
        <w:tabs>
          <w:tab w:val="clear" w:pos="567"/>
        </w:tabs>
        <w:spacing w:line="240" w:lineRule="auto"/>
        <w:rPr>
          <w:szCs w:val="22"/>
        </w:rPr>
      </w:pPr>
    </w:p>
    <w:p w14:paraId="0D3A02CA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</w:rPr>
      </w:pPr>
      <w:r>
        <w:t>DUROGESIC alkalmazása szülés alatt nem ajánlott, mert akut vagy posztoperatív fájdalom kezelésére nem alkalmazható (lásd 4.3</w:t>
      </w:r>
      <w:r w:rsidR="00456B89">
        <w:t> pont</w:t>
      </w:r>
      <w:r>
        <w:t>).</w:t>
      </w:r>
      <w:r w:rsidR="00225876">
        <w:t xml:space="preserve"> </w:t>
      </w:r>
      <w:r>
        <w:t>Ezenfelül, mivel a fentanil átjut a placentán, a DUROGESIC szülés alatt történő alkalmazása az újszülött csecsemőnél légzésdepressziót eredményezhet.</w:t>
      </w:r>
    </w:p>
    <w:p w14:paraId="0589B662" w14:textId="77777777" w:rsidR="00A25754" w:rsidRPr="00F651DA" w:rsidRDefault="00A25754" w:rsidP="00A25754">
      <w:pPr>
        <w:tabs>
          <w:tab w:val="clear" w:pos="567"/>
        </w:tabs>
        <w:spacing w:line="240" w:lineRule="auto"/>
        <w:rPr>
          <w:szCs w:val="22"/>
        </w:rPr>
      </w:pPr>
    </w:p>
    <w:p w14:paraId="0F268D85" w14:textId="77777777" w:rsidR="00A25754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u w:val="single"/>
        </w:rPr>
        <w:t>Szoptatás</w:t>
      </w:r>
    </w:p>
    <w:p w14:paraId="550FD878" w14:textId="77777777" w:rsidR="00A25754" w:rsidRPr="006D2ABE" w:rsidRDefault="00A25754" w:rsidP="00A25754">
      <w:pPr>
        <w:tabs>
          <w:tab w:val="clear" w:pos="567"/>
        </w:tabs>
        <w:spacing w:line="240" w:lineRule="auto"/>
        <w:rPr>
          <w:szCs w:val="22"/>
        </w:rPr>
      </w:pPr>
      <w:r>
        <w:t>A fentanil kiválasztódik a humán anyatejbe, és szedációt, illetve légzésdepressziót okozhat a szoptatott csecsemőnél. Ezért a</w:t>
      </w:r>
      <w:r w:rsidR="00225876">
        <w:t xml:space="preserve"> </w:t>
      </w:r>
      <w:r>
        <w:t>szoptatást a DUROGESIC</w:t>
      </w:r>
      <w:r w:rsidR="00EB441D">
        <w:noBreakHyphen/>
      </w:r>
      <w:r>
        <w:t>kel történő kezelés alatt, illetve a tapasz eltávolítását követően legalább 72</w:t>
      </w:r>
      <w:r w:rsidR="00336277">
        <w:t> </w:t>
      </w:r>
      <w:r>
        <w:t>óráig fel kell függeszteni.</w:t>
      </w:r>
    </w:p>
    <w:p w14:paraId="5BF0536D" w14:textId="77777777" w:rsidR="00A25754" w:rsidRPr="00CB2FD9" w:rsidRDefault="00A25754" w:rsidP="00A25754">
      <w:pPr>
        <w:tabs>
          <w:tab w:val="clear" w:pos="567"/>
        </w:tabs>
        <w:spacing w:line="240" w:lineRule="auto"/>
        <w:rPr>
          <w:szCs w:val="22"/>
        </w:rPr>
      </w:pPr>
    </w:p>
    <w:p w14:paraId="2DBD62A7" w14:textId="77777777" w:rsidR="00A25754" w:rsidRPr="00777769" w:rsidRDefault="00A25754" w:rsidP="00A25754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u w:val="single"/>
        </w:rPr>
        <w:t>Termékenység</w:t>
      </w:r>
    </w:p>
    <w:p w14:paraId="557E6347" w14:textId="77777777" w:rsidR="00A25754" w:rsidRPr="008C4226" w:rsidRDefault="00A25754" w:rsidP="00A25754">
      <w:pPr>
        <w:tabs>
          <w:tab w:val="clear" w:pos="567"/>
        </w:tabs>
        <w:spacing w:line="240" w:lineRule="auto"/>
      </w:pPr>
      <w:r>
        <w:t>A fentanil fertilitásra gyakorolt hatásait illetően nincsenek klinikai adatok. Néhány, patkányokkal végzett vizsgálat</w:t>
      </w:r>
      <w:r w:rsidR="00DC4D80">
        <w:t xml:space="preserve"> </w:t>
      </w:r>
      <w:r>
        <w:t>csökkent fertilitást és megnövekedett embrionális mortalitás mutatott az anyára toxikus dózisok mellett (lásd 5.3</w:t>
      </w:r>
      <w:r w:rsidR="00456B89">
        <w:t> pont</w:t>
      </w:r>
      <w:r>
        <w:t>).</w:t>
      </w:r>
    </w:p>
    <w:p w14:paraId="6CB386FD" w14:textId="77777777" w:rsidR="00A25754" w:rsidRPr="008C4226" w:rsidRDefault="00A25754" w:rsidP="00A25754">
      <w:pPr>
        <w:tabs>
          <w:tab w:val="clear" w:pos="567"/>
        </w:tabs>
        <w:spacing w:line="240" w:lineRule="auto"/>
      </w:pPr>
    </w:p>
    <w:p w14:paraId="3E4E7CD7" w14:textId="77777777" w:rsidR="00A25754" w:rsidRDefault="00A25754" w:rsidP="00A25754">
      <w:pPr>
        <w:spacing w:line="240" w:lineRule="auto"/>
        <w:ind w:left="567" w:hanging="567"/>
      </w:pPr>
      <w:r>
        <w:rPr>
          <w:b/>
        </w:rPr>
        <w:t>4.7</w:t>
      </w:r>
      <w:r>
        <w:rPr>
          <w:b/>
        </w:rPr>
        <w:tab/>
        <w:t>A készítmény hatásai a gépjárművezetéshez és a gépek kezeléséhez szükséges képességekre</w:t>
      </w:r>
    </w:p>
    <w:p w14:paraId="6418115B" w14:textId="77777777" w:rsidR="00A25754" w:rsidRDefault="00A25754" w:rsidP="00A25754">
      <w:pPr>
        <w:spacing w:line="240" w:lineRule="auto"/>
      </w:pPr>
    </w:p>
    <w:p w14:paraId="0A5EB451" w14:textId="77777777" w:rsidR="00A25754" w:rsidRPr="000C1913" w:rsidRDefault="00A25754" w:rsidP="00A25754">
      <w:pPr>
        <w:spacing w:line="240" w:lineRule="auto"/>
        <w:rPr>
          <w:i/>
        </w:rPr>
      </w:pPr>
      <w:r>
        <w:t xml:space="preserve">A DUROGESIC gyengítheti a potenciálisan veszélyes feladatok </w:t>
      </w:r>
      <w:r w:rsidR="00410183">
        <w:t>–</w:t>
      </w:r>
      <w:r>
        <w:t xml:space="preserve"> mint például a gépjárművezetés vagy a gépek kezelése </w:t>
      </w:r>
      <w:r w:rsidR="00410183">
        <w:t>–</w:t>
      </w:r>
      <w:r>
        <w:t xml:space="preserve"> elvégzéséhez szükséges mentális és/vagy fizikai képességeket</w:t>
      </w:r>
      <w:r w:rsidR="008A5E98">
        <w:t>.</w:t>
      </w:r>
    </w:p>
    <w:p w14:paraId="6E383C3F" w14:textId="77777777" w:rsidR="00A25754" w:rsidRDefault="00A25754" w:rsidP="00A25754">
      <w:pPr>
        <w:spacing w:line="240" w:lineRule="auto"/>
      </w:pPr>
    </w:p>
    <w:p w14:paraId="7E6C3F42" w14:textId="77777777" w:rsidR="00A25754" w:rsidRDefault="00A25754" w:rsidP="00A25754">
      <w:pPr>
        <w:tabs>
          <w:tab w:val="clear" w:pos="567"/>
        </w:tabs>
        <w:spacing w:line="240" w:lineRule="auto"/>
        <w:ind w:left="562" w:hanging="562"/>
        <w:rPr>
          <w:b/>
        </w:rPr>
      </w:pPr>
      <w:r>
        <w:rPr>
          <w:b/>
        </w:rPr>
        <w:t>4.8</w:t>
      </w:r>
      <w:r>
        <w:rPr>
          <w:b/>
        </w:rPr>
        <w:tab/>
        <w:t>Nemkívánatos hatások, mellékhatások</w:t>
      </w:r>
    </w:p>
    <w:p w14:paraId="19C3C948" w14:textId="77777777" w:rsidR="00A25754" w:rsidRDefault="00A25754" w:rsidP="00A25754">
      <w:pPr>
        <w:spacing w:line="240" w:lineRule="auto"/>
      </w:pPr>
    </w:p>
    <w:p w14:paraId="070D7DD7" w14:textId="77777777" w:rsidR="00A25754" w:rsidRPr="000E5BB4" w:rsidRDefault="00A25754" w:rsidP="00A25754">
      <w:pPr>
        <w:spacing w:line="240" w:lineRule="auto"/>
      </w:pPr>
      <w:r>
        <w:t>Tizenegy klinikai vizsgálatban (egy kettős</w:t>
      </w:r>
      <w:r w:rsidR="008A5E98">
        <w:t xml:space="preserve"> </w:t>
      </w:r>
      <w:r>
        <w:t>vak, placebokontrollos; 7</w:t>
      </w:r>
      <w:r w:rsidR="00336277">
        <w:t> </w:t>
      </w:r>
      <w:r>
        <w:t>nyílt, aktív</w:t>
      </w:r>
      <w:r w:rsidR="008A5E98">
        <w:t xml:space="preserve"> </w:t>
      </w:r>
      <w:r>
        <w:t>kontrollos; 3</w:t>
      </w:r>
      <w:r w:rsidR="00336277">
        <w:t> </w:t>
      </w:r>
      <w:r>
        <w:t>nyílt, nem kontrollos) résztvevő, 1565</w:t>
      </w:r>
      <w:r w:rsidR="00336277">
        <w:t> </w:t>
      </w:r>
      <w:r>
        <w:t>felnőtt és 289</w:t>
      </w:r>
      <w:r w:rsidR="00DC4D80">
        <w:t> </w:t>
      </w:r>
      <w:r>
        <w:t>gyermekgyógyászati betegnél vizsgálták a DUROGESIC biztonságosságát krónikus malignus vagy nem malignus fájdalomcsillapítás kezelése esetén.</w:t>
      </w:r>
      <w:r w:rsidR="00225876">
        <w:t xml:space="preserve"> </w:t>
      </w:r>
      <w:r>
        <w:t>Ezek a vizsgálati alanyok legalább egy dózis DUROGESIC</w:t>
      </w:r>
      <w:r w:rsidR="00EB441D">
        <w:noBreakHyphen/>
      </w:r>
      <w:r>
        <w:t xml:space="preserve">et kaptak, és tőlük nyerték a biztonságossági adatokat. Az ezekből a klinikai vizsgálatokból származó összesített biztonságossági adatok alapján a leggyakrabban jelentett (azaz </w:t>
      </w:r>
      <w:r>
        <w:rPr>
          <w:cs/>
        </w:rPr>
        <w:t>≥</w:t>
      </w:r>
      <w:r w:rsidR="00DC4D80">
        <w:rPr>
          <w:rFonts w:hint="cs"/>
          <w:cs/>
        </w:rPr>
        <w:t> </w:t>
      </w:r>
      <w:r>
        <w:t>10%</w:t>
      </w:r>
      <w:r w:rsidR="00EB441D">
        <w:noBreakHyphen/>
      </w:r>
      <w:r>
        <w:t>os incidenciájú) mellékhatások a következők voltak: hányinger (35,7%), hányás (23,2%), székrekedés (23,1%), aluszékonyság (15,0%), szédülés (13,1%) és fejfájás (11,8%).</w:t>
      </w:r>
    </w:p>
    <w:p w14:paraId="2BA15ACD" w14:textId="77777777" w:rsidR="00A25754" w:rsidRDefault="00A25754" w:rsidP="00A25754">
      <w:pPr>
        <w:spacing w:line="240" w:lineRule="auto"/>
      </w:pPr>
    </w:p>
    <w:p w14:paraId="68253F11" w14:textId="77777777" w:rsidR="00A25754" w:rsidRDefault="00A25754" w:rsidP="00A25754">
      <w:pPr>
        <w:spacing w:line="240" w:lineRule="auto"/>
      </w:pPr>
      <w:r>
        <w:t>A DUROGESIC alkalmazása mellett az ezekben a klinikai vizsgálatokban jelentett mellékhatásokat, a fent említett mellékhatásokat is beleértve, valamint a forgalomba hozatalt követően jelentett mellékhatásokat az alábbi, 5.</w:t>
      </w:r>
      <w:r w:rsidR="00336277">
        <w:t> </w:t>
      </w:r>
      <w:r>
        <w:t>táblázat sorolja fel.</w:t>
      </w:r>
    </w:p>
    <w:p w14:paraId="77F14BC9" w14:textId="77777777" w:rsidR="00A25754" w:rsidRPr="00CB2FD9" w:rsidRDefault="00A25754" w:rsidP="00A25754">
      <w:pPr>
        <w:spacing w:line="240" w:lineRule="auto"/>
        <w:rPr>
          <w:szCs w:val="22"/>
        </w:rPr>
      </w:pPr>
    </w:p>
    <w:p w14:paraId="7EF54B56" w14:textId="77777777" w:rsidR="00A25754" w:rsidRPr="00A94119" w:rsidRDefault="00A25754" w:rsidP="00A25754">
      <w:pPr>
        <w:spacing w:line="240" w:lineRule="auto"/>
        <w:rPr>
          <w:szCs w:val="22"/>
        </w:rPr>
      </w:pPr>
      <w:r>
        <w:t>A feltüntetett gyakorisági kategóriák az alábbi megegyezés szerint kerü</w:t>
      </w:r>
      <w:r w:rsidR="003E5EE7">
        <w:t>l</w:t>
      </w:r>
      <w:r>
        <w:t>nek megadásra: nagyon gyakori (</w:t>
      </w:r>
      <w:r>
        <w:rPr>
          <w:cs/>
        </w:rPr>
        <w:t>≥</w:t>
      </w:r>
      <w:r>
        <w:t> 1/10), gyakori (</w:t>
      </w:r>
      <w:r>
        <w:rPr>
          <w:cs/>
        </w:rPr>
        <w:t>≥</w:t>
      </w:r>
      <w:r>
        <w:t xml:space="preserve"> 1/100 </w:t>
      </w:r>
      <w:r w:rsidR="00EB441D">
        <w:noBreakHyphen/>
      </w:r>
      <w:r>
        <w:t xml:space="preserve"> &lt; 1/10), nem gyakori (</w:t>
      </w:r>
      <w:r>
        <w:rPr>
          <w:cs/>
        </w:rPr>
        <w:t>≥</w:t>
      </w:r>
      <w:r>
        <w:t xml:space="preserve"> 1/1000 </w:t>
      </w:r>
      <w:r w:rsidR="00EB441D">
        <w:noBreakHyphen/>
      </w:r>
      <w:r>
        <w:t xml:space="preserve"> &lt; 1/100), ritka (</w:t>
      </w:r>
      <w:r>
        <w:rPr>
          <w:cs/>
        </w:rPr>
        <w:t>≥</w:t>
      </w:r>
      <w:r>
        <w:t> 1/10</w:t>
      </w:r>
      <w:r w:rsidR="00DC4D80">
        <w:t> </w:t>
      </w:r>
      <w:r>
        <w:t xml:space="preserve">000 </w:t>
      </w:r>
      <w:r w:rsidR="00EB441D">
        <w:noBreakHyphen/>
      </w:r>
      <w:r>
        <w:t xml:space="preserve"> &lt; 1/1000) és nagyon ritka (&lt; 1/10</w:t>
      </w:r>
      <w:r w:rsidR="00DC4D80">
        <w:t> </w:t>
      </w:r>
      <w:r>
        <w:t xml:space="preserve">000), nem ismert (a </w:t>
      </w:r>
      <w:r w:rsidR="00522443">
        <w:t xml:space="preserve">gyakoriság a </w:t>
      </w:r>
      <w:r>
        <w:t>rendelkezésre álló klinikai adatokból nem állapítható meg). A szervrendszeri kategóriák szerinti mellékhatások az egyes gyakorisági kategóriákon belül csökkenő súlyosság szerint kerülnek megadásra.</w:t>
      </w:r>
    </w:p>
    <w:p w14:paraId="2358230C" w14:textId="77777777" w:rsidR="00A25754" w:rsidRPr="00293199" w:rsidRDefault="00A25754" w:rsidP="003D686B">
      <w:pPr>
        <w:autoSpaceDE w:val="0"/>
        <w:autoSpaceDN w:val="0"/>
        <w:adjustRightInd w:val="0"/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3"/>
        <w:gridCol w:w="1306"/>
        <w:gridCol w:w="1671"/>
        <w:gridCol w:w="1758"/>
        <w:gridCol w:w="1161"/>
        <w:gridCol w:w="1212"/>
      </w:tblGrid>
      <w:tr w:rsidR="00A25754" w:rsidRPr="00CB2FD9" w14:paraId="06B9F162" w14:textId="77777777" w:rsidTr="00EA1EDA">
        <w:trPr>
          <w:cantSplit/>
        </w:trPr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</w:tcPr>
          <w:p w14:paraId="07454021" w14:textId="77777777" w:rsidR="00A25754" w:rsidRPr="00EA1EDA" w:rsidRDefault="00A25754" w:rsidP="00927851">
            <w:pPr>
              <w:keepNext/>
              <w:spacing w:line="240" w:lineRule="auto"/>
              <w:rPr>
                <w:b/>
                <w:bCs/>
                <w:szCs w:val="22"/>
              </w:rPr>
            </w:pPr>
            <w:bookmarkStart w:id="3" w:name="_Toc245101981"/>
            <w:r w:rsidRPr="00EA1EDA">
              <w:rPr>
                <w:b/>
                <w:szCs w:val="22"/>
              </w:rPr>
              <w:t>5.</w:t>
            </w:r>
            <w:r w:rsidR="00336277" w:rsidRPr="00EA1EDA">
              <w:rPr>
                <w:b/>
                <w:szCs w:val="22"/>
              </w:rPr>
              <w:t> </w:t>
            </w:r>
            <w:r w:rsidRPr="00EA1EDA">
              <w:rPr>
                <w:b/>
                <w:szCs w:val="22"/>
              </w:rPr>
              <w:t>táblázat:</w:t>
            </w:r>
            <w:bookmarkEnd w:id="3"/>
            <w:r w:rsidRPr="00EA1EDA">
              <w:rPr>
                <w:b/>
                <w:szCs w:val="22"/>
              </w:rPr>
              <w:tab/>
              <w:t>Mellékhatások felnőtt és gyermekgyógyászati betegeknél</w:t>
            </w:r>
          </w:p>
        </w:tc>
      </w:tr>
      <w:tr w:rsidR="00A25754" w:rsidRPr="00CB2FD9" w14:paraId="748E7F29" w14:textId="77777777" w:rsidTr="00A25754">
        <w:trPr>
          <w:cantSplit/>
          <w:trHeight w:val="475"/>
        </w:trPr>
        <w:tc>
          <w:tcPr>
            <w:tcW w:w="1082" w:type="pct"/>
            <w:vMerge w:val="restart"/>
          </w:tcPr>
          <w:p w14:paraId="266DE357" w14:textId="77777777" w:rsidR="00A25754" w:rsidRPr="00D94DF2" w:rsidRDefault="00A25754" w:rsidP="00927851">
            <w:pPr>
              <w:keepNext/>
              <w:spacing w:line="240" w:lineRule="auto"/>
              <w:rPr>
                <w:sz w:val="20"/>
              </w:rPr>
            </w:pPr>
            <w:r>
              <w:rPr>
                <w:b/>
                <w:sz w:val="20"/>
              </w:rPr>
              <w:t>Szervrendszeri kategória</w:t>
            </w:r>
          </w:p>
        </w:tc>
        <w:tc>
          <w:tcPr>
            <w:tcW w:w="3918" w:type="pct"/>
            <w:gridSpan w:val="5"/>
          </w:tcPr>
          <w:p w14:paraId="60B756EC" w14:textId="77777777" w:rsidR="00A25754" w:rsidRPr="00D94DF2" w:rsidRDefault="00A25754" w:rsidP="003D686B">
            <w:pPr>
              <w:keepNext/>
              <w:spacing w:line="240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Gyakorisági kategória</w:t>
            </w:r>
          </w:p>
        </w:tc>
      </w:tr>
      <w:tr w:rsidR="00A25754" w:rsidRPr="00CB2FD9" w14:paraId="4D0B2B6F" w14:textId="77777777" w:rsidTr="00501570">
        <w:trPr>
          <w:cantSplit/>
        </w:trPr>
        <w:tc>
          <w:tcPr>
            <w:tcW w:w="1082" w:type="pct"/>
            <w:vMerge/>
          </w:tcPr>
          <w:p w14:paraId="19B14986" w14:textId="77777777" w:rsidR="00A25754" w:rsidRPr="00CB2FD9" w:rsidRDefault="00A25754" w:rsidP="003D686B">
            <w:pPr>
              <w:keepNext/>
              <w:spacing w:line="240" w:lineRule="auto"/>
              <w:rPr>
                <w:sz w:val="20"/>
              </w:rPr>
            </w:pPr>
          </w:p>
        </w:tc>
        <w:tc>
          <w:tcPr>
            <w:tcW w:w="720" w:type="pct"/>
          </w:tcPr>
          <w:p w14:paraId="415E5672" w14:textId="77777777" w:rsidR="00A25754" w:rsidRPr="00D94DF2" w:rsidRDefault="00A25754" w:rsidP="003D686B">
            <w:pPr>
              <w:keepNext/>
              <w:spacing w:line="240" w:lineRule="auto"/>
              <w:rPr>
                <w:sz w:val="20"/>
              </w:rPr>
            </w:pPr>
            <w:r>
              <w:rPr>
                <w:sz w:val="20"/>
              </w:rPr>
              <w:t>Nagyon gyakori</w:t>
            </w:r>
            <w:r>
              <w:br/>
            </w:r>
          </w:p>
        </w:tc>
        <w:tc>
          <w:tcPr>
            <w:tcW w:w="921" w:type="pct"/>
          </w:tcPr>
          <w:p w14:paraId="5B27392A" w14:textId="77777777" w:rsidR="00A25754" w:rsidRPr="00D94DF2" w:rsidRDefault="00A25754" w:rsidP="003D686B">
            <w:pPr>
              <w:keepNext/>
              <w:spacing w:line="240" w:lineRule="auto"/>
              <w:rPr>
                <w:sz w:val="20"/>
              </w:rPr>
            </w:pPr>
            <w:r>
              <w:rPr>
                <w:sz w:val="20"/>
              </w:rPr>
              <w:t>Gyakori</w:t>
            </w:r>
            <w:r>
              <w:br/>
            </w:r>
          </w:p>
        </w:tc>
        <w:tc>
          <w:tcPr>
            <w:tcW w:w="969" w:type="pct"/>
          </w:tcPr>
          <w:p w14:paraId="0AC8F3BA" w14:textId="77777777" w:rsidR="00A25754" w:rsidRPr="00D94DF2" w:rsidRDefault="00A25754" w:rsidP="003D686B">
            <w:pPr>
              <w:keepNext/>
              <w:spacing w:line="240" w:lineRule="auto"/>
              <w:rPr>
                <w:sz w:val="20"/>
              </w:rPr>
            </w:pPr>
            <w:r>
              <w:rPr>
                <w:sz w:val="20"/>
              </w:rPr>
              <w:t>Nem gyakori</w:t>
            </w:r>
            <w:r>
              <w:br/>
            </w:r>
          </w:p>
        </w:tc>
        <w:tc>
          <w:tcPr>
            <w:tcW w:w="640" w:type="pct"/>
          </w:tcPr>
          <w:p w14:paraId="5A3AD686" w14:textId="77777777" w:rsidR="00A25754" w:rsidRPr="00D94DF2" w:rsidRDefault="00A25754" w:rsidP="003D686B">
            <w:pPr>
              <w:keepNext/>
              <w:spacing w:line="240" w:lineRule="auto"/>
              <w:rPr>
                <w:sz w:val="20"/>
              </w:rPr>
            </w:pPr>
            <w:r>
              <w:rPr>
                <w:sz w:val="20"/>
              </w:rPr>
              <w:t>Ritka</w:t>
            </w:r>
            <w:r>
              <w:br/>
            </w:r>
          </w:p>
        </w:tc>
        <w:tc>
          <w:tcPr>
            <w:tcW w:w="668" w:type="pct"/>
          </w:tcPr>
          <w:p w14:paraId="1E44B61D" w14:textId="77777777" w:rsidR="00A25754" w:rsidRPr="00D94DF2" w:rsidRDefault="00A25754" w:rsidP="003D686B">
            <w:pPr>
              <w:keepNext/>
              <w:spacing w:line="240" w:lineRule="auto"/>
              <w:rPr>
                <w:sz w:val="20"/>
              </w:rPr>
            </w:pPr>
            <w:r>
              <w:rPr>
                <w:sz w:val="20"/>
              </w:rPr>
              <w:t>Nem ismert</w:t>
            </w:r>
          </w:p>
        </w:tc>
      </w:tr>
      <w:tr w:rsidR="00A25754" w:rsidRPr="00CB2FD9" w14:paraId="2C7B6231" w14:textId="77777777" w:rsidTr="00501570">
        <w:trPr>
          <w:cantSplit/>
        </w:trPr>
        <w:tc>
          <w:tcPr>
            <w:tcW w:w="1082" w:type="pct"/>
          </w:tcPr>
          <w:p w14:paraId="408E244E" w14:textId="77777777" w:rsidR="00A25754" w:rsidRPr="00D94DF2" w:rsidRDefault="00A25754" w:rsidP="00927851">
            <w:pPr>
              <w:keepNext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Immunrendszeri betegségek és tünetek</w:t>
            </w:r>
          </w:p>
        </w:tc>
        <w:tc>
          <w:tcPr>
            <w:tcW w:w="720" w:type="pct"/>
          </w:tcPr>
          <w:p w14:paraId="28139C27" w14:textId="77777777" w:rsidR="00A25754" w:rsidRPr="00D94DF2" w:rsidRDefault="00A25754" w:rsidP="003D686B">
            <w:pPr>
              <w:keepNext/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135A5984" w14:textId="77777777" w:rsidR="00A25754" w:rsidRPr="00D94DF2" w:rsidRDefault="00A25754" w:rsidP="003D686B">
            <w:pPr>
              <w:keepNext/>
              <w:spacing w:line="240" w:lineRule="auto"/>
              <w:rPr>
                <w:sz w:val="20"/>
              </w:rPr>
            </w:pPr>
            <w:r>
              <w:rPr>
                <w:sz w:val="20"/>
              </w:rPr>
              <w:t>Túlérzékenység</w:t>
            </w:r>
          </w:p>
        </w:tc>
        <w:tc>
          <w:tcPr>
            <w:tcW w:w="969" w:type="pct"/>
          </w:tcPr>
          <w:p w14:paraId="0C28CC29" w14:textId="77777777" w:rsidR="00A25754" w:rsidRPr="00D94DF2" w:rsidRDefault="00A25754" w:rsidP="003D686B">
            <w:pPr>
              <w:keepNext/>
              <w:spacing w:line="240" w:lineRule="auto"/>
              <w:rPr>
                <w:sz w:val="20"/>
              </w:rPr>
            </w:pPr>
          </w:p>
        </w:tc>
        <w:tc>
          <w:tcPr>
            <w:tcW w:w="640" w:type="pct"/>
          </w:tcPr>
          <w:p w14:paraId="142D0502" w14:textId="77777777" w:rsidR="00A25754" w:rsidRPr="00D94DF2" w:rsidRDefault="00A25754" w:rsidP="003D686B">
            <w:pPr>
              <w:keepNext/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1E25D57A" w14:textId="77777777" w:rsidR="00A25754" w:rsidRPr="00D94DF2" w:rsidRDefault="00A25754" w:rsidP="00927851">
            <w:pPr>
              <w:keepNext/>
              <w:spacing w:line="240" w:lineRule="auto"/>
              <w:rPr>
                <w:sz w:val="20"/>
              </w:rPr>
            </w:pPr>
            <w:r>
              <w:rPr>
                <w:sz w:val="20"/>
              </w:rPr>
              <w:t>Anaphylaxiás shock, anaphylaxiás reakció, anaphylactoid reakció</w:t>
            </w:r>
          </w:p>
        </w:tc>
      </w:tr>
      <w:tr w:rsidR="00E35A9D" w:rsidRPr="00D94DF2" w14:paraId="401A609B" w14:textId="77777777" w:rsidTr="00501570">
        <w:trPr>
          <w:cantSplit/>
        </w:trPr>
        <w:tc>
          <w:tcPr>
            <w:tcW w:w="1082" w:type="pct"/>
          </w:tcPr>
          <w:p w14:paraId="1472C679" w14:textId="77777777" w:rsidR="00E35A9D" w:rsidRDefault="00E35A9D" w:rsidP="00A25754">
            <w:pPr>
              <w:spacing w:line="240" w:lineRule="auto"/>
              <w:rPr>
                <w:b/>
                <w:sz w:val="20"/>
              </w:rPr>
            </w:pPr>
            <w:r w:rsidRPr="00E35A9D">
              <w:rPr>
                <w:b/>
                <w:sz w:val="20"/>
              </w:rPr>
              <w:t>Endokrin betegségek és tünetek</w:t>
            </w:r>
          </w:p>
        </w:tc>
        <w:tc>
          <w:tcPr>
            <w:tcW w:w="720" w:type="pct"/>
          </w:tcPr>
          <w:p w14:paraId="1234CD2D" w14:textId="77777777" w:rsidR="00E35A9D" w:rsidRPr="00D94DF2" w:rsidRDefault="00E35A9D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0EAFFA30" w14:textId="77777777" w:rsidR="00E35A9D" w:rsidRDefault="00E35A9D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69" w:type="pct"/>
          </w:tcPr>
          <w:p w14:paraId="101DB7D1" w14:textId="77777777" w:rsidR="00E35A9D" w:rsidRPr="00D94DF2" w:rsidRDefault="00E35A9D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40" w:type="pct"/>
          </w:tcPr>
          <w:p w14:paraId="5F217F20" w14:textId="77777777" w:rsidR="00E35A9D" w:rsidRPr="00D94DF2" w:rsidRDefault="00E35A9D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2316E34A" w14:textId="77777777" w:rsidR="00E35A9D" w:rsidRPr="00D94DF2" w:rsidRDefault="00E35A9D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Androgénhiány</w:t>
            </w:r>
          </w:p>
        </w:tc>
      </w:tr>
      <w:tr w:rsidR="00A25754" w:rsidRPr="00D94DF2" w14:paraId="64CB9AE3" w14:textId="77777777" w:rsidTr="00501570">
        <w:trPr>
          <w:cantSplit/>
        </w:trPr>
        <w:tc>
          <w:tcPr>
            <w:tcW w:w="1082" w:type="pct"/>
          </w:tcPr>
          <w:p w14:paraId="4EF8E22A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Anyagcsere</w:t>
            </w:r>
            <w:r w:rsidR="00EB441D">
              <w:rPr>
                <w:b/>
                <w:sz w:val="20"/>
              </w:rPr>
              <w:noBreakHyphen/>
            </w:r>
            <w:r>
              <w:rPr>
                <w:b/>
                <w:sz w:val="20"/>
              </w:rPr>
              <w:t xml:space="preserve"> és táplálkozási betegségek és tünetek</w:t>
            </w:r>
          </w:p>
        </w:tc>
        <w:tc>
          <w:tcPr>
            <w:tcW w:w="720" w:type="pct"/>
          </w:tcPr>
          <w:p w14:paraId="3D094684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27E306F4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Étvágytalanság</w:t>
            </w:r>
          </w:p>
        </w:tc>
        <w:tc>
          <w:tcPr>
            <w:tcW w:w="969" w:type="pct"/>
          </w:tcPr>
          <w:p w14:paraId="4B8E7FAE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40" w:type="pct"/>
          </w:tcPr>
          <w:p w14:paraId="34C5032A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05172AA4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03DEE495" w14:textId="77777777" w:rsidTr="00501570">
        <w:trPr>
          <w:cantSplit/>
        </w:trPr>
        <w:tc>
          <w:tcPr>
            <w:tcW w:w="1082" w:type="pct"/>
          </w:tcPr>
          <w:p w14:paraId="7201D0FA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Pszichiátriai kórképek</w:t>
            </w:r>
          </w:p>
        </w:tc>
        <w:tc>
          <w:tcPr>
            <w:tcW w:w="720" w:type="pct"/>
          </w:tcPr>
          <w:p w14:paraId="4ABAF0D8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00B66936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Insomnia, depresszió, szorongás, zavartság, hallucináció</w:t>
            </w:r>
          </w:p>
        </w:tc>
        <w:tc>
          <w:tcPr>
            <w:tcW w:w="969" w:type="pct"/>
          </w:tcPr>
          <w:p w14:paraId="70EEEED1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Izgatottság, dezorientáció, eufóriás hangulat </w:t>
            </w:r>
          </w:p>
        </w:tc>
        <w:tc>
          <w:tcPr>
            <w:tcW w:w="640" w:type="pct"/>
          </w:tcPr>
          <w:p w14:paraId="194CBC98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2FEBCB31" w14:textId="77777777" w:rsidR="00A25754" w:rsidRPr="00D94DF2" w:rsidRDefault="00E35A9D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Del</w:t>
            </w:r>
            <w:r w:rsidR="00773153">
              <w:rPr>
                <w:sz w:val="20"/>
              </w:rPr>
              <w:t>í</w:t>
            </w:r>
            <w:r>
              <w:rPr>
                <w:sz w:val="20"/>
              </w:rPr>
              <w:t>rium</w:t>
            </w:r>
            <w:r w:rsidR="0031661F">
              <w:rPr>
                <w:sz w:val="20"/>
              </w:rPr>
              <w:t>, függőség</w:t>
            </w:r>
          </w:p>
        </w:tc>
      </w:tr>
      <w:tr w:rsidR="00A25754" w:rsidRPr="00D94DF2" w14:paraId="58A0C63D" w14:textId="77777777" w:rsidTr="00501570">
        <w:trPr>
          <w:cantSplit/>
        </w:trPr>
        <w:tc>
          <w:tcPr>
            <w:tcW w:w="1082" w:type="pct"/>
          </w:tcPr>
          <w:p w14:paraId="18F3CA13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Idegrendszeri betegségek és tünetek</w:t>
            </w:r>
          </w:p>
        </w:tc>
        <w:tc>
          <w:tcPr>
            <w:tcW w:w="720" w:type="pct"/>
          </w:tcPr>
          <w:p w14:paraId="5B9BF93E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Somnolentia, szédülés, fejfájás </w:t>
            </w:r>
          </w:p>
        </w:tc>
        <w:tc>
          <w:tcPr>
            <w:tcW w:w="921" w:type="pct"/>
          </w:tcPr>
          <w:p w14:paraId="09B59E29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Tremor, paraesthesia </w:t>
            </w:r>
          </w:p>
        </w:tc>
        <w:tc>
          <w:tcPr>
            <w:tcW w:w="969" w:type="pct"/>
          </w:tcPr>
          <w:p w14:paraId="17814E2F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Hypaesthesia, convulsiók (beleértve a klónusos convulsiókat és a grand mal convulsiókat is), amnesia, csökkent tudatszint, tudatvesztés</w:t>
            </w:r>
          </w:p>
        </w:tc>
        <w:tc>
          <w:tcPr>
            <w:tcW w:w="640" w:type="pct"/>
          </w:tcPr>
          <w:p w14:paraId="56A118E5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7D44EF64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6AAC091F" w14:textId="77777777" w:rsidTr="00501570">
        <w:trPr>
          <w:cantSplit/>
          <w:trHeight w:val="332"/>
        </w:trPr>
        <w:tc>
          <w:tcPr>
            <w:tcW w:w="1082" w:type="pct"/>
          </w:tcPr>
          <w:p w14:paraId="2AE1F631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Szembetegségek és szemészeti tünetek</w:t>
            </w:r>
          </w:p>
        </w:tc>
        <w:tc>
          <w:tcPr>
            <w:tcW w:w="720" w:type="pct"/>
          </w:tcPr>
          <w:p w14:paraId="39AE7C16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75DB1A00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69" w:type="pct"/>
          </w:tcPr>
          <w:p w14:paraId="7181732C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Homályos látás</w:t>
            </w:r>
          </w:p>
        </w:tc>
        <w:tc>
          <w:tcPr>
            <w:tcW w:w="640" w:type="pct"/>
          </w:tcPr>
          <w:p w14:paraId="0E2C64E2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Miosis</w:t>
            </w:r>
          </w:p>
        </w:tc>
        <w:tc>
          <w:tcPr>
            <w:tcW w:w="668" w:type="pct"/>
          </w:tcPr>
          <w:p w14:paraId="5826FC5B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6D63BEDF" w14:textId="77777777" w:rsidTr="00501570">
        <w:trPr>
          <w:cantSplit/>
        </w:trPr>
        <w:tc>
          <w:tcPr>
            <w:tcW w:w="1082" w:type="pct"/>
          </w:tcPr>
          <w:p w14:paraId="64E6D0D6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A fül és az egyensúly</w:t>
            </w:r>
            <w:r w:rsidR="00EB441D">
              <w:rPr>
                <w:b/>
                <w:sz w:val="20"/>
              </w:rPr>
              <w:noBreakHyphen/>
            </w:r>
            <w:r>
              <w:rPr>
                <w:b/>
                <w:sz w:val="20"/>
              </w:rPr>
              <w:t>érzékelő szerv</w:t>
            </w:r>
          </w:p>
          <w:p w14:paraId="05E69523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betegségei és tünetei</w:t>
            </w:r>
          </w:p>
        </w:tc>
        <w:tc>
          <w:tcPr>
            <w:tcW w:w="720" w:type="pct"/>
          </w:tcPr>
          <w:p w14:paraId="79F408B3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21FEA295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Vertigo</w:t>
            </w:r>
          </w:p>
        </w:tc>
        <w:tc>
          <w:tcPr>
            <w:tcW w:w="969" w:type="pct"/>
          </w:tcPr>
          <w:p w14:paraId="40AFE2CE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40" w:type="pct"/>
          </w:tcPr>
          <w:p w14:paraId="369CC6EA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3787BCD3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5490C76A" w14:textId="77777777" w:rsidTr="00501570">
        <w:trPr>
          <w:cantSplit/>
        </w:trPr>
        <w:tc>
          <w:tcPr>
            <w:tcW w:w="1082" w:type="pct"/>
          </w:tcPr>
          <w:p w14:paraId="269E5126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Szívbetegségek és a szívvel kapcsolatos tünetek</w:t>
            </w:r>
          </w:p>
        </w:tc>
        <w:tc>
          <w:tcPr>
            <w:tcW w:w="720" w:type="pct"/>
          </w:tcPr>
          <w:p w14:paraId="229BD415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4F23E2B9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Palpitatio, tachycardia</w:t>
            </w:r>
          </w:p>
        </w:tc>
        <w:tc>
          <w:tcPr>
            <w:tcW w:w="969" w:type="pct"/>
          </w:tcPr>
          <w:p w14:paraId="2EBDBCC8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Bradycardia, cyanosis </w:t>
            </w:r>
          </w:p>
        </w:tc>
        <w:tc>
          <w:tcPr>
            <w:tcW w:w="640" w:type="pct"/>
          </w:tcPr>
          <w:p w14:paraId="40001BE0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5F3A2455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123CFC54" w14:textId="77777777" w:rsidTr="00501570">
        <w:trPr>
          <w:cantSplit/>
        </w:trPr>
        <w:tc>
          <w:tcPr>
            <w:tcW w:w="1082" w:type="pct"/>
          </w:tcPr>
          <w:p w14:paraId="513F14FC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Érbetegségek és tünetek</w:t>
            </w:r>
          </w:p>
        </w:tc>
        <w:tc>
          <w:tcPr>
            <w:tcW w:w="720" w:type="pct"/>
          </w:tcPr>
          <w:p w14:paraId="7C14DB77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47344EDA" w14:textId="77777777" w:rsidR="00A25754" w:rsidRPr="00D94DF2" w:rsidRDefault="00A25754" w:rsidP="00410183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Hypert</w:t>
            </w:r>
            <w:r w:rsidR="00410183">
              <w:rPr>
                <w:sz w:val="20"/>
              </w:rPr>
              <w:t>ensio</w:t>
            </w:r>
          </w:p>
        </w:tc>
        <w:tc>
          <w:tcPr>
            <w:tcW w:w="969" w:type="pct"/>
          </w:tcPr>
          <w:p w14:paraId="3CC1ED51" w14:textId="77777777" w:rsidR="00A25754" w:rsidRPr="00D94DF2" w:rsidRDefault="00B70676" w:rsidP="00410183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Hypot</w:t>
            </w:r>
            <w:r w:rsidR="00410183">
              <w:rPr>
                <w:sz w:val="20"/>
              </w:rPr>
              <w:t>ensio</w:t>
            </w:r>
          </w:p>
        </w:tc>
        <w:tc>
          <w:tcPr>
            <w:tcW w:w="640" w:type="pct"/>
          </w:tcPr>
          <w:p w14:paraId="76BA1A62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5C931943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6F682F06" w14:textId="77777777" w:rsidTr="00501570">
        <w:trPr>
          <w:cantSplit/>
        </w:trPr>
        <w:tc>
          <w:tcPr>
            <w:tcW w:w="1082" w:type="pct"/>
          </w:tcPr>
          <w:p w14:paraId="48A8E5F3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Légzőrendszeri, mellkasi és mediastinalis betegségek és tünetek</w:t>
            </w:r>
          </w:p>
        </w:tc>
        <w:tc>
          <w:tcPr>
            <w:tcW w:w="720" w:type="pct"/>
          </w:tcPr>
          <w:p w14:paraId="128A8767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67793203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Dyspnoe</w:t>
            </w:r>
          </w:p>
        </w:tc>
        <w:tc>
          <w:tcPr>
            <w:tcW w:w="969" w:type="pct"/>
          </w:tcPr>
          <w:p w14:paraId="2F8094C0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Légzésdepresszió, respiratoricus distress </w:t>
            </w:r>
          </w:p>
        </w:tc>
        <w:tc>
          <w:tcPr>
            <w:tcW w:w="640" w:type="pct"/>
          </w:tcPr>
          <w:p w14:paraId="72D766A9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Apnoe, hypoventilatio</w:t>
            </w:r>
          </w:p>
        </w:tc>
        <w:tc>
          <w:tcPr>
            <w:tcW w:w="668" w:type="pct"/>
          </w:tcPr>
          <w:p w14:paraId="4C8A4439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Bradypnoe</w:t>
            </w:r>
          </w:p>
        </w:tc>
      </w:tr>
      <w:tr w:rsidR="00A25754" w:rsidRPr="00D94DF2" w14:paraId="4B1799EE" w14:textId="77777777" w:rsidTr="00501570">
        <w:trPr>
          <w:cantSplit/>
        </w:trPr>
        <w:tc>
          <w:tcPr>
            <w:tcW w:w="1082" w:type="pct"/>
          </w:tcPr>
          <w:p w14:paraId="0AE0DDBD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Emésztőrendszeri betegségek és tünetek</w:t>
            </w:r>
          </w:p>
        </w:tc>
        <w:tc>
          <w:tcPr>
            <w:tcW w:w="720" w:type="pct"/>
          </w:tcPr>
          <w:p w14:paraId="6FA74624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Hányinger, hányás, székrekedés</w:t>
            </w:r>
          </w:p>
        </w:tc>
        <w:tc>
          <w:tcPr>
            <w:tcW w:w="921" w:type="pct"/>
          </w:tcPr>
          <w:p w14:paraId="7F3AD2E7" w14:textId="77777777" w:rsidR="00A25754" w:rsidRPr="00D94DF2" w:rsidRDefault="00A25754" w:rsidP="00410183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Hasmenés, szájszárazság, hasi fájdalom, </w:t>
            </w:r>
            <w:r w:rsidR="00410183">
              <w:rPr>
                <w:sz w:val="20"/>
              </w:rPr>
              <w:t xml:space="preserve">gyomortáji </w:t>
            </w:r>
            <w:r>
              <w:rPr>
                <w:sz w:val="20"/>
              </w:rPr>
              <w:t>fájdalom, dyspepsia</w:t>
            </w:r>
          </w:p>
        </w:tc>
        <w:tc>
          <w:tcPr>
            <w:tcW w:w="969" w:type="pct"/>
          </w:tcPr>
          <w:p w14:paraId="0EB9E3A1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Ileus</w:t>
            </w:r>
            <w:r w:rsidR="00813C0B" w:rsidRPr="00813C0B">
              <w:rPr>
                <w:sz w:val="20"/>
              </w:rPr>
              <w:t>, dysphagia</w:t>
            </w:r>
          </w:p>
        </w:tc>
        <w:tc>
          <w:tcPr>
            <w:tcW w:w="640" w:type="pct"/>
          </w:tcPr>
          <w:p w14:paraId="0C5E46C6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Subileus</w:t>
            </w:r>
          </w:p>
        </w:tc>
        <w:tc>
          <w:tcPr>
            <w:tcW w:w="668" w:type="pct"/>
          </w:tcPr>
          <w:p w14:paraId="17CDBEA6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4D73DCA8" w14:textId="77777777" w:rsidTr="00501570">
        <w:trPr>
          <w:cantSplit/>
        </w:trPr>
        <w:tc>
          <w:tcPr>
            <w:tcW w:w="1082" w:type="pct"/>
          </w:tcPr>
          <w:p w14:paraId="63791F11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A bőr és a bőr alatti szövet betegségei és tünetei</w:t>
            </w:r>
          </w:p>
        </w:tc>
        <w:tc>
          <w:tcPr>
            <w:tcW w:w="720" w:type="pct"/>
          </w:tcPr>
          <w:p w14:paraId="38A9C6B0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64381CE9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Hyperhidrosis, pruritus, bőrkiütés, erythema </w:t>
            </w:r>
          </w:p>
        </w:tc>
        <w:tc>
          <w:tcPr>
            <w:tcW w:w="969" w:type="pct"/>
          </w:tcPr>
          <w:p w14:paraId="57BA01B7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Eczema, allergiás dermatitis, bőrbetegség, dermatitis, kontakt dermatitis </w:t>
            </w:r>
          </w:p>
        </w:tc>
        <w:tc>
          <w:tcPr>
            <w:tcW w:w="640" w:type="pct"/>
          </w:tcPr>
          <w:p w14:paraId="15E0B8FA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69250D15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7CF1790D" w14:textId="77777777" w:rsidTr="00501570">
        <w:trPr>
          <w:cantSplit/>
        </w:trPr>
        <w:tc>
          <w:tcPr>
            <w:tcW w:w="1082" w:type="pct"/>
          </w:tcPr>
          <w:p w14:paraId="70E506CC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A csont</w:t>
            </w:r>
            <w:r w:rsidR="00EB441D">
              <w:rPr>
                <w:b/>
                <w:sz w:val="20"/>
              </w:rPr>
              <w:noBreakHyphen/>
            </w:r>
            <w:r>
              <w:rPr>
                <w:b/>
                <w:sz w:val="20"/>
              </w:rPr>
              <w:t xml:space="preserve"> és izomrendszer, valamint a kötőszövet betegségei és tünetei</w:t>
            </w:r>
          </w:p>
        </w:tc>
        <w:tc>
          <w:tcPr>
            <w:tcW w:w="720" w:type="pct"/>
          </w:tcPr>
          <w:p w14:paraId="1D42C449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2570E7E2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Izomgörcsök</w:t>
            </w:r>
          </w:p>
        </w:tc>
        <w:tc>
          <w:tcPr>
            <w:tcW w:w="969" w:type="pct"/>
          </w:tcPr>
          <w:p w14:paraId="777C87E3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Izomrángás</w:t>
            </w:r>
          </w:p>
        </w:tc>
        <w:tc>
          <w:tcPr>
            <w:tcW w:w="640" w:type="pct"/>
          </w:tcPr>
          <w:p w14:paraId="7F7617E8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708016A4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1303F540" w14:textId="77777777" w:rsidTr="00501570">
        <w:trPr>
          <w:cantSplit/>
        </w:trPr>
        <w:tc>
          <w:tcPr>
            <w:tcW w:w="1082" w:type="pct"/>
          </w:tcPr>
          <w:p w14:paraId="56BDE214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Vese</w:t>
            </w:r>
            <w:r w:rsidR="00EB441D">
              <w:rPr>
                <w:b/>
                <w:sz w:val="20"/>
              </w:rPr>
              <w:noBreakHyphen/>
            </w:r>
            <w:r>
              <w:rPr>
                <w:b/>
                <w:sz w:val="20"/>
              </w:rPr>
              <w:t xml:space="preserve"> és húgyúti betegségek és tünetek</w:t>
            </w:r>
          </w:p>
        </w:tc>
        <w:tc>
          <w:tcPr>
            <w:tcW w:w="720" w:type="pct"/>
          </w:tcPr>
          <w:p w14:paraId="4D970AEE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368B3B5B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Vizeletretenció</w:t>
            </w:r>
          </w:p>
        </w:tc>
        <w:tc>
          <w:tcPr>
            <w:tcW w:w="969" w:type="pct"/>
          </w:tcPr>
          <w:p w14:paraId="1670E54F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40" w:type="pct"/>
          </w:tcPr>
          <w:p w14:paraId="0419B39C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690C2C14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41C8C5A2" w14:textId="77777777" w:rsidTr="00501570">
        <w:trPr>
          <w:cantSplit/>
        </w:trPr>
        <w:tc>
          <w:tcPr>
            <w:tcW w:w="1082" w:type="pct"/>
          </w:tcPr>
          <w:p w14:paraId="19E46701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A nemi szervekkel és az emlőkkel kapcsolatos betegségek és tünetek</w:t>
            </w:r>
          </w:p>
        </w:tc>
        <w:tc>
          <w:tcPr>
            <w:tcW w:w="720" w:type="pct"/>
          </w:tcPr>
          <w:p w14:paraId="6A50412A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</w:tcPr>
          <w:p w14:paraId="23E0E41E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69" w:type="pct"/>
          </w:tcPr>
          <w:p w14:paraId="059C100B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Erectilis dysfunctio, szexuális dysfunctio</w:t>
            </w:r>
          </w:p>
        </w:tc>
        <w:tc>
          <w:tcPr>
            <w:tcW w:w="640" w:type="pct"/>
          </w:tcPr>
          <w:p w14:paraId="4F2031DD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668" w:type="pct"/>
          </w:tcPr>
          <w:p w14:paraId="2125CA26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</w:tr>
      <w:tr w:rsidR="00A25754" w:rsidRPr="00D94DF2" w14:paraId="6D8EE200" w14:textId="77777777" w:rsidTr="00C942B6">
        <w:trPr>
          <w:cantSplit/>
        </w:trPr>
        <w:tc>
          <w:tcPr>
            <w:tcW w:w="1082" w:type="pct"/>
            <w:tcBorders>
              <w:bottom w:val="single" w:sz="4" w:space="0" w:color="auto"/>
            </w:tcBorders>
          </w:tcPr>
          <w:p w14:paraId="4E52A9AC" w14:textId="77777777" w:rsidR="00A25754" w:rsidRPr="00D94DF2" w:rsidRDefault="00A25754" w:rsidP="00A25754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Általános tünetek, az alkalmazás helyén fellépő reakciók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14:paraId="544412CF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</w:p>
        </w:tc>
        <w:tc>
          <w:tcPr>
            <w:tcW w:w="921" w:type="pct"/>
            <w:tcBorders>
              <w:bottom w:val="single" w:sz="4" w:space="0" w:color="auto"/>
            </w:tcBorders>
          </w:tcPr>
          <w:p w14:paraId="52927B8B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Fáradtság, perifériás oedema, gyengeség, rossz közérzet, hidegség érzés </w:t>
            </w:r>
          </w:p>
        </w:tc>
        <w:tc>
          <w:tcPr>
            <w:tcW w:w="969" w:type="pct"/>
            <w:tcBorders>
              <w:bottom w:val="single" w:sz="4" w:space="0" w:color="auto"/>
            </w:tcBorders>
          </w:tcPr>
          <w:p w14:paraId="589A765C" w14:textId="77777777" w:rsidR="00A25754" w:rsidRPr="00B70676" w:rsidRDefault="00A25754" w:rsidP="00A25754">
            <w:pPr>
              <w:spacing w:line="240" w:lineRule="auto"/>
              <w:rPr>
                <w:sz w:val="20"/>
              </w:rPr>
            </w:pPr>
            <w:r w:rsidRPr="00B70676">
              <w:rPr>
                <w:sz w:val="20"/>
              </w:rPr>
              <w:t>Az alkalmazás helyén jelentkező reakció, influenzaszerű betegség, a testhőmérséklet megváltozásának érzése, az alkalmazás helyén jelentkező túlérzékenység, gyógyszermegvonási szindróma, láz</w:t>
            </w:r>
            <w:r w:rsidRPr="00B70676">
              <w:rPr>
                <w:sz w:val="20"/>
                <w:vertAlign w:val="superscript"/>
              </w:rPr>
              <w:t>*</w:t>
            </w:r>
          </w:p>
        </w:tc>
        <w:tc>
          <w:tcPr>
            <w:tcW w:w="640" w:type="pct"/>
            <w:tcBorders>
              <w:bottom w:val="single" w:sz="4" w:space="0" w:color="auto"/>
            </w:tcBorders>
          </w:tcPr>
          <w:p w14:paraId="38BB92B8" w14:textId="77777777" w:rsidR="00A25754" w:rsidRPr="00D94DF2" w:rsidRDefault="00A25754" w:rsidP="00A25754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Az alkalmazás helyén jelentkező dermatitis, az alkalmazás helyén jelentkező eczema </w:t>
            </w:r>
          </w:p>
        </w:tc>
        <w:tc>
          <w:tcPr>
            <w:tcW w:w="668" w:type="pct"/>
            <w:tcBorders>
              <w:bottom w:val="single" w:sz="4" w:space="0" w:color="auto"/>
            </w:tcBorders>
          </w:tcPr>
          <w:p w14:paraId="0EF87AE2" w14:textId="77777777" w:rsidR="00A25754" w:rsidRPr="00D94DF2" w:rsidRDefault="0031661F" w:rsidP="005E4291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Gyógyszer-tolerancia</w:t>
            </w:r>
          </w:p>
        </w:tc>
      </w:tr>
      <w:tr w:rsidR="00A343F8" w:rsidRPr="00927851" w14:paraId="7CAED072" w14:textId="77777777" w:rsidTr="00A343F8">
        <w:trPr>
          <w:cantSplit/>
        </w:trPr>
        <w:tc>
          <w:tcPr>
            <w:tcW w:w="5000" w:type="pct"/>
            <w:gridSpan w:val="6"/>
            <w:tcBorders>
              <w:left w:val="nil"/>
              <w:bottom w:val="nil"/>
              <w:right w:val="nil"/>
            </w:tcBorders>
          </w:tcPr>
          <w:p w14:paraId="1D811928" w14:textId="77777777" w:rsidR="00A343F8" w:rsidRPr="00927851" w:rsidRDefault="00A343F8" w:rsidP="00445A9D">
            <w:pPr>
              <w:autoSpaceDE w:val="0"/>
              <w:autoSpaceDN w:val="0"/>
              <w:adjustRightInd w:val="0"/>
              <w:spacing w:line="240" w:lineRule="auto"/>
              <w:ind w:left="284" w:hanging="284"/>
              <w:rPr>
                <w:szCs w:val="22"/>
              </w:rPr>
            </w:pPr>
            <w:r w:rsidRPr="003D686B">
              <w:rPr>
                <w:sz w:val="18"/>
                <w:szCs w:val="22"/>
                <w:lang w:eastAsia="en-US"/>
              </w:rPr>
              <w:t>*    A nem gyakori gyakorisági kategória kizárólag a nem daganatos fájdalomban szenvedő, felnőtt és gyermekgyógyászati betegekkel végzett klinikai vizsgálatokban észlelt előfordulási gyakoriságok elemzésén alapul.</w:t>
            </w:r>
          </w:p>
        </w:tc>
      </w:tr>
    </w:tbl>
    <w:p w14:paraId="597F991A" w14:textId="77777777" w:rsidR="00A25754" w:rsidRDefault="00A25754" w:rsidP="00E90860">
      <w:pPr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Cs w:val="22"/>
        </w:rPr>
      </w:pPr>
    </w:p>
    <w:p w14:paraId="0F2165AC" w14:textId="77777777" w:rsidR="00A25754" w:rsidRDefault="00A25754" w:rsidP="00A25754">
      <w:pPr>
        <w:spacing w:line="240" w:lineRule="auto"/>
        <w:rPr>
          <w:szCs w:val="22"/>
          <w:u w:val="single"/>
        </w:rPr>
      </w:pPr>
      <w:r>
        <w:rPr>
          <w:u w:val="single"/>
        </w:rPr>
        <w:t>Gyermekek és serdülők</w:t>
      </w:r>
    </w:p>
    <w:p w14:paraId="0F462831" w14:textId="77777777" w:rsidR="00A25754" w:rsidRPr="000E5BB4" w:rsidRDefault="00A25754" w:rsidP="00C942B6">
      <w:pPr>
        <w:tabs>
          <w:tab w:val="clear" w:pos="567"/>
          <w:tab w:val="left" w:pos="0"/>
        </w:tabs>
        <w:spacing w:line="240" w:lineRule="auto"/>
        <w:rPr>
          <w:szCs w:val="22"/>
        </w:rPr>
      </w:pPr>
      <w:r>
        <w:t>A DUROGESIC biztonságosságát 3</w:t>
      </w:r>
      <w:r w:rsidR="00336277">
        <w:t> </w:t>
      </w:r>
      <w:r>
        <w:t>klinikai vizsgálatban résztvevő, 289, olyan gyermekgyógyászati betegnél értékelték (&lt;</w:t>
      </w:r>
      <w:r w:rsidR="00DC4D80">
        <w:t> </w:t>
      </w:r>
      <w:r>
        <w:t>18</w:t>
      </w:r>
      <w:r w:rsidR="00EB441D">
        <w:t> év</w:t>
      </w:r>
      <w:r>
        <w:t>es), akiket malignus vagy nem malignus eredetű krónikus vagy állandó fájdalom miatt kezeltek. Ezek a vizsgálati alanyok legalább egy dózis DUROGESIC</w:t>
      </w:r>
      <w:r w:rsidR="00EB441D">
        <w:noBreakHyphen/>
      </w:r>
      <w:r>
        <w:t>et kaptak, és tőlük nyerték a biztonságossági adatokat (lásd 5.1</w:t>
      </w:r>
      <w:r w:rsidR="00456B89">
        <w:t> pont</w:t>
      </w:r>
      <w:r>
        <w:t>).</w:t>
      </w:r>
    </w:p>
    <w:p w14:paraId="118095D4" w14:textId="77777777" w:rsidR="00A343F8" w:rsidRDefault="00A343F8" w:rsidP="00A25754">
      <w:pPr>
        <w:spacing w:line="240" w:lineRule="auto"/>
        <w:rPr>
          <w:szCs w:val="22"/>
        </w:rPr>
      </w:pPr>
    </w:p>
    <w:p w14:paraId="0D009812" w14:textId="77777777" w:rsidR="00A25754" w:rsidRPr="00FA1669" w:rsidRDefault="00A25754" w:rsidP="00A25754">
      <w:pPr>
        <w:spacing w:line="240" w:lineRule="auto"/>
        <w:rPr>
          <w:b/>
          <w:szCs w:val="22"/>
        </w:rPr>
      </w:pPr>
      <w:r>
        <w:t>A DUROGESIC</w:t>
      </w:r>
      <w:r w:rsidR="00EB441D">
        <w:noBreakHyphen/>
      </w:r>
      <w:r>
        <w:t>kel kezelt gyermekeknél és serdülőknél észlelt biztonságossági profil hasonló volt a felnőtteknél megfigyelthez. A súlyos betegség okozta fájdalom enyhítésére használt opioidok esetén várható kockázaton kívül nem azonosítottak más kockázatot a gyermekeknél és serdülőknél, és úgy tűnik, hogy 2</w:t>
      </w:r>
      <w:r w:rsidR="00EB441D">
        <w:t> év</w:t>
      </w:r>
      <w:r>
        <w:t>es kortól a DUROGESIC előírásoknak megfelelő alkalmazása nem jelent semmilyen gyermekgyógyászat</w:t>
      </w:r>
      <w:r w:rsidR="00EB441D">
        <w:noBreakHyphen/>
      </w:r>
      <w:r>
        <w:t>specifikus kockázatot.</w:t>
      </w:r>
    </w:p>
    <w:p w14:paraId="6AD6AAE6" w14:textId="77777777" w:rsidR="00A25754" w:rsidRPr="000E5BB4" w:rsidRDefault="00A25754" w:rsidP="00A25754">
      <w:pPr>
        <w:pStyle w:val="Jegyzetszveg"/>
      </w:pPr>
    </w:p>
    <w:p w14:paraId="48673AE1" w14:textId="77777777" w:rsidR="00A25754" w:rsidRDefault="00A25754" w:rsidP="00A25754">
      <w:pPr>
        <w:spacing w:line="240" w:lineRule="auto"/>
      </w:pPr>
      <w:r>
        <w:t xml:space="preserve">Az ebből a 3, gyermekgyógyászati betegekkel végzett klinikai vizsgálatból származó összesített biztonságossági adatok alapján a leggyakrabban jelentett (azaz </w:t>
      </w:r>
      <w:r>
        <w:rPr>
          <w:cs/>
        </w:rPr>
        <w:t>≥</w:t>
      </w:r>
      <w:r w:rsidR="00336277">
        <w:rPr>
          <w:cs/>
        </w:rPr>
        <w:t> </w:t>
      </w:r>
      <w:r>
        <w:t>10%</w:t>
      </w:r>
      <w:r w:rsidR="00EB441D">
        <w:noBreakHyphen/>
      </w:r>
      <w:r>
        <w:t>os incidenciájú) mellékhatások a következők voltak: hányás (33,9%), hányinger (23,5%), fejfájás (16,3%), székrekedés (13,5%), hasmenés (12,8%) és pruritus (12,8%).</w:t>
      </w:r>
    </w:p>
    <w:p w14:paraId="3B4AB75C" w14:textId="77777777" w:rsidR="00A25754" w:rsidRPr="00CB2FD9" w:rsidRDefault="00A25754" w:rsidP="00A25754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C69144C" w14:textId="77777777" w:rsidR="00F0073E" w:rsidRPr="009F187A" w:rsidRDefault="00F0073E" w:rsidP="00F0073E">
      <w:pPr>
        <w:autoSpaceDE w:val="0"/>
        <w:autoSpaceDN w:val="0"/>
        <w:adjustRightInd w:val="0"/>
        <w:spacing w:line="240" w:lineRule="auto"/>
        <w:rPr>
          <w:u w:val="single"/>
        </w:rPr>
      </w:pPr>
      <w:r w:rsidRPr="009F187A">
        <w:rPr>
          <w:u w:val="single"/>
        </w:rPr>
        <w:t>Tolerancia</w:t>
      </w:r>
    </w:p>
    <w:p w14:paraId="263C7337" w14:textId="77777777" w:rsidR="00F0073E" w:rsidRDefault="00F0073E" w:rsidP="00F0073E">
      <w:pPr>
        <w:autoSpaceDE w:val="0"/>
        <w:autoSpaceDN w:val="0"/>
        <w:adjustRightInd w:val="0"/>
        <w:spacing w:line="240" w:lineRule="auto"/>
      </w:pPr>
      <w:r w:rsidRPr="00F0073E">
        <w:t>Ismétlődő alkalmazás esetén tolerancia alakulhat ki.</w:t>
      </w:r>
    </w:p>
    <w:p w14:paraId="781CC305" w14:textId="77777777" w:rsidR="00F0073E" w:rsidRPr="00F0073E" w:rsidRDefault="00F0073E" w:rsidP="00F0073E">
      <w:pPr>
        <w:autoSpaceDE w:val="0"/>
        <w:autoSpaceDN w:val="0"/>
        <w:adjustRightInd w:val="0"/>
        <w:spacing w:line="240" w:lineRule="auto"/>
      </w:pPr>
    </w:p>
    <w:p w14:paraId="02727FF2" w14:textId="77777777" w:rsidR="00F0073E" w:rsidRPr="009F187A" w:rsidRDefault="00F0073E" w:rsidP="00F0073E">
      <w:pPr>
        <w:autoSpaceDE w:val="0"/>
        <w:autoSpaceDN w:val="0"/>
        <w:adjustRightInd w:val="0"/>
        <w:spacing w:line="240" w:lineRule="auto"/>
        <w:rPr>
          <w:u w:val="single"/>
        </w:rPr>
      </w:pPr>
      <w:r w:rsidRPr="009F187A">
        <w:rPr>
          <w:u w:val="single"/>
        </w:rPr>
        <w:t>Gyógyszerfüggőség</w:t>
      </w:r>
    </w:p>
    <w:p w14:paraId="7DA31464" w14:textId="77777777" w:rsidR="00F0073E" w:rsidRDefault="00F0073E" w:rsidP="00A25754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F0073E">
        <w:t xml:space="preserve">A </w:t>
      </w:r>
      <w:r>
        <w:t>DUROGESIC</w:t>
      </w:r>
      <w:r w:rsidRPr="00F0073E">
        <w:t xml:space="preserve"> ismétlődő alkalmazása még terápiás dózisban is gyógyszerfüggőséghez vezethet. A gyógyszerfüggőség kockázata a beteg egyéni kockázati tényezőinek, az adagolásnak és az opioid-kezelés időtartamának függvényében változhat (lásd 4.4</w:t>
      </w:r>
      <w:r>
        <w:t> </w:t>
      </w:r>
      <w:r w:rsidRPr="00F0073E">
        <w:t>pont).</w:t>
      </w:r>
    </w:p>
    <w:p w14:paraId="74524A58" w14:textId="77777777" w:rsidR="00A25754" w:rsidRPr="00293199" w:rsidRDefault="00A25754" w:rsidP="00A25754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3FB1938" w14:textId="77777777" w:rsidR="00F0073E" w:rsidRPr="009F187A" w:rsidRDefault="00F0073E" w:rsidP="00A25754">
      <w:pPr>
        <w:autoSpaceDE w:val="0"/>
        <w:autoSpaceDN w:val="0"/>
        <w:adjustRightInd w:val="0"/>
        <w:spacing w:line="240" w:lineRule="auto"/>
        <w:rPr>
          <w:u w:val="single"/>
        </w:rPr>
      </w:pPr>
      <w:r w:rsidRPr="009F187A">
        <w:rPr>
          <w:u w:val="single"/>
        </w:rPr>
        <w:t>Opioid</w:t>
      </w:r>
      <w:r w:rsidRPr="009F187A">
        <w:rPr>
          <w:u w:val="single"/>
        </w:rPr>
        <w:noBreakHyphen/>
        <w:t>megvonási tünetek</w:t>
      </w:r>
    </w:p>
    <w:p w14:paraId="23032794" w14:textId="77777777" w:rsidR="00A25754" w:rsidRPr="00293199" w:rsidRDefault="00A25754" w:rsidP="00A25754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>Opioid</w:t>
      </w:r>
      <w:r w:rsidR="00EB441D">
        <w:noBreakHyphen/>
      </w:r>
      <w:r>
        <w:t>megvonási tünetek (mint például hányinger, hányás, hasmenés, szorongás,</w:t>
      </w:r>
      <w:r w:rsidR="00156191">
        <w:t xml:space="preserve"> </w:t>
      </w:r>
      <w:r w:rsidR="00CC5DF0">
        <w:t>hidegrázás</w:t>
      </w:r>
      <w:r>
        <w:t>) néhány betegnél jelentkezhetnek, ha a korábban alkalmazott opioid</w:t>
      </w:r>
      <w:r w:rsidR="00EB441D">
        <w:noBreakHyphen/>
      </w:r>
      <w:r>
        <w:t>típusú fájdalomcsillapítót DUROGESIC</w:t>
      </w:r>
      <w:r w:rsidR="00EB441D">
        <w:noBreakHyphen/>
      </w:r>
      <w:r>
        <w:t>re cserélik, vagy a kezelést hirtelen abbahagyják (lásd 4.2</w:t>
      </w:r>
      <w:r w:rsidR="009D4E64">
        <w:t xml:space="preserve"> és 4.4</w:t>
      </w:r>
      <w:r w:rsidR="00456B89">
        <w:t> pont</w:t>
      </w:r>
      <w:r>
        <w:t xml:space="preserve">). </w:t>
      </w:r>
    </w:p>
    <w:p w14:paraId="4B120F03" w14:textId="77777777" w:rsidR="00A25754" w:rsidRDefault="00A25754" w:rsidP="00A25754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ED6D36A" w14:textId="77777777" w:rsidR="00F0073E" w:rsidRPr="009F187A" w:rsidRDefault="00F0073E" w:rsidP="003D686B">
      <w:pPr>
        <w:keepNext/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9F187A">
        <w:rPr>
          <w:u w:val="single"/>
        </w:rPr>
        <w:t>Megvonási szindróma újszülött csecsemőknél</w:t>
      </w:r>
    </w:p>
    <w:p w14:paraId="62793D82" w14:textId="77777777" w:rsidR="00A25754" w:rsidRDefault="00A25754" w:rsidP="003D686B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>
        <w:t>Terhesség alatt tartósan DUROGESIC</w:t>
      </w:r>
      <w:r w:rsidR="00EB441D">
        <w:noBreakHyphen/>
      </w:r>
      <w:r>
        <w:t>et használó anyák újszülött csecsemőinél nagyon ritkán megvonási szindrómát jelentettek (lásd 4.6</w:t>
      </w:r>
      <w:r w:rsidR="00456B89">
        <w:t> pont</w:t>
      </w:r>
      <w:r>
        <w:t>).</w:t>
      </w:r>
    </w:p>
    <w:p w14:paraId="60398050" w14:textId="77777777" w:rsidR="00A25754" w:rsidRDefault="00A25754" w:rsidP="00A25754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8FC5FF8" w14:textId="77777777" w:rsidR="00F0073E" w:rsidRPr="009F187A" w:rsidRDefault="00F0073E" w:rsidP="00A25754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9F187A">
        <w:rPr>
          <w:u w:val="single"/>
        </w:rPr>
        <w:t>Szerotonin-szindróma</w:t>
      </w:r>
    </w:p>
    <w:p w14:paraId="24FA7DF1" w14:textId="77777777" w:rsidR="00A25754" w:rsidRPr="00293199" w:rsidRDefault="00A25754" w:rsidP="00A25754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>Szerotonin</w:t>
      </w:r>
      <w:r w:rsidR="00A26828">
        <w:t>-</w:t>
      </w:r>
      <w:r>
        <w:t>szindróma eseteiről számoltak be, amikor a fentanilt erősen szerotonerg gyógyszerekkel adták egyidejűleg (lásd 4.4 és 4.5</w:t>
      </w:r>
      <w:r w:rsidR="00456B89">
        <w:t> pont</w:t>
      </w:r>
      <w:r>
        <w:t>).</w:t>
      </w:r>
    </w:p>
    <w:p w14:paraId="38BE6004" w14:textId="77777777" w:rsidR="00A25754" w:rsidRPr="00293199" w:rsidRDefault="00A25754" w:rsidP="00A25754">
      <w:pPr>
        <w:spacing w:line="240" w:lineRule="auto"/>
        <w:rPr>
          <w:szCs w:val="22"/>
          <w:u w:val="single"/>
        </w:rPr>
      </w:pPr>
    </w:p>
    <w:p w14:paraId="7A764EA5" w14:textId="77777777" w:rsidR="00A25754" w:rsidRPr="00B3208E" w:rsidRDefault="00A25754" w:rsidP="00A25754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t>Feltételezett mellékhatások bejelentése</w:t>
      </w:r>
    </w:p>
    <w:p w14:paraId="27B3FDF0" w14:textId="77777777" w:rsidR="00A25754" w:rsidRPr="008225EB" w:rsidRDefault="00A25754" w:rsidP="00A25754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  <w:r w:rsidR="001E3926" w:rsidRPr="00D0750E">
        <w:t>Az egészségügyi szakembereket kérjük,</w:t>
      </w:r>
      <w:r w:rsidR="001E3926">
        <w:t xml:space="preserve"> </w:t>
      </w:r>
      <w:r w:rsidR="001E3926" w:rsidRPr="00D0750E">
        <w:t xml:space="preserve">hogy jelentsék be a feltételezett mellékhatásokat a hatóság részére </w:t>
      </w:r>
      <w:r w:rsidR="001E3926">
        <w:rPr>
          <w:highlight w:val="lightGray"/>
        </w:rPr>
        <w:t xml:space="preserve">az </w:t>
      </w:r>
      <w:hyperlink r:id="rId11" w:history="1">
        <w:r w:rsidR="001E3926">
          <w:rPr>
            <w:rStyle w:val="Hiperhivatkozs"/>
            <w:highlight w:val="lightGray"/>
          </w:rPr>
          <w:t>V. függelékben</w:t>
        </w:r>
      </w:hyperlink>
      <w:r w:rsidR="001E3926">
        <w:rPr>
          <w:highlight w:val="lightGray"/>
        </w:rPr>
        <w:t xml:space="preserve"> található elérhetőségek valamelyikén keresztül</w:t>
      </w:r>
      <w:r w:rsidR="001E3926">
        <w:t>.</w:t>
      </w:r>
    </w:p>
    <w:p w14:paraId="3F21AC8A" w14:textId="77777777" w:rsidR="00A25754" w:rsidRPr="003D686B" w:rsidRDefault="00A25754" w:rsidP="00A25754">
      <w:pPr>
        <w:spacing w:line="240" w:lineRule="auto"/>
        <w:rPr>
          <w:bCs/>
        </w:rPr>
      </w:pPr>
    </w:p>
    <w:p w14:paraId="09E5077F" w14:textId="77777777" w:rsidR="00A25754" w:rsidRDefault="00A25754" w:rsidP="00A25754">
      <w:pPr>
        <w:spacing w:line="240" w:lineRule="auto"/>
      </w:pPr>
      <w:r>
        <w:rPr>
          <w:b/>
        </w:rPr>
        <w:t>4.9</w:t>
      </w:r>
      <w:r>
        <w:rPr>
          <w:b/>
        </w:rPr>
        <w:tab/>
        <w:t>Túladagolás</w:t>
      </w:r>
    </w:p>
    <w:p w14:paraId="325D530D" w14:textId="77777777" w:rsidR="00A25754" w:rsidRDefault="00A25754" w:rsidP="00A25754">
      <w:pPr>
        <w:spacing w:line="240" w:lineRule="auto"/>
      </w:pPr>
    </w:p>
    <w:p w14:paraId="4147F13D" w14:textId="77777777" w:rsidR="00A25754" w:rsidRPr="00A07C5C" w:rsidRDefault="00522443" w:rsidP="00A25754">
      <w:pPr>
        <w:spacing w:line="240" w:lineRule="auto"/>
        <w:rPr>
          <w:u w:val="single"/>
        </w:rPr>
      </w:pPr>
      <w:r>
        <w:rPr>
          <w:u w:val="single"/>
        </w:rPr>
        <w:t xml:space="preserve">Jelek </w:t>
      </w:r>
      <w:r w:rsidR="00A25754">
        <w:rPr>
          <w:u w:val="single"/>
        </w:rPr>
        <w:t>és tünetek</w:t>
      </w:r>
    </w:p>
    <w:p w14:paraId="7FFE90FD" w14:textId="77777777" w:rsidR="00A25754" w:rsidRDefault="00A25754" w:rsidP="00A25754">
      <w:pPr>
        <w:spacing w:line="240" w:lineRule="auto"/>
      </w:pPr>
      <w:r>
        <w:t>A fentanil</w:t>
      </w:r>
      <w:r w:rsidR="00A26828">
        <w:t>-</w:t>
      </w:r>
      <w:r>
        <w:t xml:space="preserve">túladagolás </w:t>
      </w:r>
      <w:r w:rsidR="00522443">
        <w:t xml:space="preserve">klinikai képe </w:t>
      </w:r>
      <w:r>
        <w:t>a farmakológiai hatásainak fokozódása, és a legsúlyosabb hatás a légzésdepresszió.</w:t>
      </w:r>
      <w:r w:rsidR="00F0073E">
        <w:t xml:space="preserve"> </w:t>
      </w:r>
      <w:r w:rsidR="00F0073E" w:rsidRPr="00F0073E">
        <w:t>A fentanil túladagolása esetén toxicus leukoencephalopathiáról is beszámoltak.</w:t>
      </w:r>
    </w:p>
    <w:p w14:paraId="640D4653" w14:textId="77777777" w:rsidR="00A25754" w:rsidRDefault="00A25754" w:rsidP="00A25754">
      <w:pPr>
        <w:spacing w:line="240" w:lineRule="auto"/>
      </w:pPr>
    </w:p>
    <w:p w14:paraId="6C4FC746" w14:textId="77777777" w:rsidR="00A25754" w:rsidRPr="00A07C5C" w:rsidRDefault="00A25754" w:rsidP="00A25754">
      <w:pPr>
        <w:spacing w:line="240" w:lineRule="auto"/>
        <w:rPr>
          <w:u w:val="single"/>
        </w:rPr>
      </w:pPr>
      <w:r>
        <w:rPr>
          <w:u w:val="single"/>
        </w:rPr>
        <w:t>Kezelés</w:t>
      </w:r>
    </w:p>
    <w:p w14:paraId="4B9CC290" w14:textId="77777777" w:rsidR="00A25754" w:rsidRDefault="00A25754" w:rsidP="00A25754">
      <w:pPr>
        <w:spacing w:line="240" w:lineRule="auto"/>
      </w:pPr>
      <w:r>
        <w:t>A légzésdepresszió kezelésére azonnal ellenintézkedéseket kell tenni, beleértve a DUROGESIC tapasz eltávolítását és a beteg fizikai vagy verbális stimulálását is. Ezt specifikus opioid</w:t>
      </w:r>
      <w:r w:rsidR="00EB441D">
        <w:noBreakHyphen/>
      </w:r>
      <w:r>
        <w:t>antagonista, például naloxon adása követheti. A túladagolást követően fellépő légzésdepresszió tovább tarthat, mint az opioid antagonista hatása. Az intravénás antagonista adagok közötti intervallumokat gondosan kell megválasztani, mert a tapasz eltávolítása után is fennáll az újabb narkotizálás lehetősége. A naloxon ismételt adására vagy folyamatos infúziójára lehet szükség. A narkotikus hatás felfüggesztése a fájdalom akut megjelenését és katekolaminok felszabadulását eredményezheti.</w:t>
      </w:r>
    </w:p>
    <w:p w14:paraId="57E0EB26" w14:textId="77777777" w:rsidR="00A25754" w:rsidRDefault="00A25754" w:rsidP="00A25754">
      <w:pPr>
        <w:spacing w:line="240" w:lineRule="auto"/>
      </w:pPr>
    </w:p>
    <w:p w14:paraId="6AA9ECAA" w14:textId="77777777" w:rsidR="00A25754" w:rsidRDefault="00A25754" w:rsidP="00A25754">
      <w:pPr>
        <w:spacing w:line="240" w:lineRule="auto"/>
      </w:pPr>
      <w:r>
        <w:t>Amennyiben azt a klinikai állapot indokolttá teszi, lehetőleg oropharyngealis vagy endotrachealis tubussal biztosítani kell</w:t>
      </w:r>
      <w:r w:rsidR="00A26828">
        <w:t>,</w:t>
      </w:r>
      <w:r>
        <w:t xml:space="preserve"> és fent kell tartani az átjárható légutakat, oxigént kell adni, és szüksége esetén asszisztált vagy kontrollált gépi lélegeztetést kell végezni. A megfelelő testhőmérsékletet fent kell tartani, és a folyadékbevitelt biztosítani kell.</w:t>
      </w:r>
    </w:p>
    <w:p w14:paraId="13E92A20" w14:textId="77777777" w:rsidR="00A25754" w:rsidRDefault="00A25754" w:rsidP="00A25754">
      <w:pPr>
        <w:spacing w:line="240" w:lineRule="auto"/>
      </w:pPr>
    </w:p>
    <w:p w14:paraId="7301C478" w14:textId="77777777" w:rsidR="00A25754" w:rsidRDefault="00A25754" w:rsidP="00A25754">
      <w:pPr>
        <w:spacing w:line="240" w:lineRule="auto"/>
      </w:pPr>
      <w:r>
        <w:t xml:space="preserve">Ha súlyos vagy tartós </w:t>
      </w:r>
      <w:r w:rsidR="00F535DB">
        <w:t xml:space="preserve">hypotonia </w:t>
      </w:r>
      <w:r>
        <w:t xml:space="preserve">lép fel, mérlegelni kell a hypovolaemia lehetőségét, és az állapotot megfelelő </w:t>
      </w:r>
      <w:r w:rsidR="00EB441D">
        <w:t>parenteralis</w:t>
      </w:r>
      <w:r>
        <w:t xml:space="preserve"> folyadékbevitellel rendezni kell.</w:t>
      </w:r>
    </w:p>
    <w:p w14:paraId="25DB2E4D" w14:textId="77777777" w:rsidR="00A25754" w:rsidRPr="004274D1" w:rsidRDefault="00A25754" w:rsidP="00A25754">
      <w:pPr>
        <w:tabs>
          <w:tab w:val="clear" w:pos="567"/>
        </w:tabs>
        <w:spacing w:line="240" w:lineRule="auto"/>
        <w:rPr>
          <w:szCs w:val="22"/>
        </w:rPr>
      </w:pPr>
    </w:p>
    <w:p w14:paraId="648BF971" w14:textId="77777777" w:rsidR="00A25754" w:rsidRDefault="00A25754" w:rsidP="00A25754">
      <w:pPr>
        <w:spacing w:line="240" w:lineRule="auto"/>
      </w:pPr>
    </w:p>
    <w:p w14:paraId="68ED4A1A" w14:textId="77777777" w:rsidR="00A25754" w:rsidRDefault="00A25754" w:rsidP="00A25754">
      <w:pPr>
        <w:keepNext/>
        <w:spacing w:line="240" w:lineRule="auto"/>
        <w:ind w:left="562" w:hanging="562"/>
      </w:pPr>
      <w:r>
        <w:rPr>
          <w:b/>
        </w:rPr>
        <w:t>5.</w:t>
      </w:r>
      <w:r>
        <w:rPr>
          <w:b/>
        </w:rPr>
        <w:tab/>
        <w:t>FARMAKOLÓGIAI TULAJDONSÁGOK</w:t>
      </w:r>
    </w:p>
    <w:p w14:paraId="7240B06B" w14:textId="77777777" w:rsidR="00A25754" w:rsidRPr="003D686B" w:rsidRDefault="00A25754" w:rsidP="00A25754">
      <w:pPr>
        <w:spacing w:line="240" w:lineRule="auto"/>
        <w:rPr>
          <w:bCs/>
        </w:rPr>
      </w:pPr>
    </w:p>
    <w:p w14:paraId="36BCE512" w14:textId="77777777" w:rsidR="00A25754" w:rsidRDefault="00A25754" w:rsidP="00A25754">
      <w:pPr>
        <w:spacing w:line="240" w:lineRule="auto"/>
        <w:ind w:left="567" w:hanging="567"/>
      </w:pPr>
      <w:r>
        <w:rPr>
          <w:b/>
        </w:rPr>
        <w:t>5.1</w:t>
      </w:r>
      <w:r>
        <w:rPr>
          <w:b/>
        </w:rPr>
        <w:tab/>
        <w:t>Farmakodinámiás tulajdonságok</w:t>
      </w:r>
    </w:p>
    <w:p w14:paraId="07ACA21C" w14:textId="77777777" w:rsidR="00A25754" w:rsidRDefault="00A25754" w:rsidP="00A25754">
      <w:pPr>
        <w:spacing w:line="240" w:lineRule="auto"/>
      </w:pPr>
    </w:p>
    <w:p w14:paraId="04D3B2FD" w14:textId="77777777" w:rsidR="00A25754" w:rsidRDefault="00A25754" w:rsidP="00A25754">
      <w:pPr>
        <w:spacing w:line="240" w:lineRule="auto"/>
        <w:rPr>
          <w:szCs w:val="22"/>
        </w:rPr>
      </w:pPr>
      <w:r>
        <w:t>Farmakoterápiás csoport: Opioidok, fenilpiperidin</w:t>
      </w:r>
      <w:r w:rsidR="00EB441D">
        <w:noBreakHyphen/>
      </w:r>
      <w:r>
        <w:t>származékok</w:t>
      </w:r>
      <w:r w:rsidR="004A3395">
        <w:t xml:space="preserve">, </w:t>
      </w:r>
      <w:r>
        <w:t>ATC kód: N02AB03</w:t>
      </w:r>
      <w:r w:rsidR="004A3395">
        <w:t>.</w:t>
      </w:r>
    </w:p>
    <w:p w14:paraId="48864AD5" w14:textId="77777777" w:rsidR="00A25754" w:rsidRPr="000C1913" w:rsidRDefault="00A25754" w:rsidP="00A25754">
      <w:pPr>
        <w:tabs>
          <w:tab w:val="clear" w:pos="567"/>
        </w:tabs>
        <w:spacing w:line="240" w:lineRule="auto"/>
        <w:rPr>
          <w:i/>
        </w:rPr>
      </w:pPr>
    </w:p>
    <w:p w14:paraId="62F1ACB0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u w:val="single"/>
        </w:rPr>
      </w:pPr>
      <w:r>
        <w:rPr>
          <w:u w:val="single"/>
        </w:rPr>
        <w:t>Hatásmechanizmus</w:t>
      </w:r>
    </w:p>
    <w:p w14:paraId="6C7AB793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fentanil egy opioid fájdalomcsillapító, ami elsősorban a </w:t>
      </w:r>
      <w:r w:rsidR="00DC4D80">
        <w:t>µ</w:t>
      </w:r>
      <w:r w:rsidR="00EB441D">
        <w:noBreakHyphen/>
      </w:r>
      <w:r>
        <w:t>opioid receptorral lép kölcsönhatásba. Elsődleges terápiás hatása az analgézia és a szedáció.</w:t>
      </w:r>
    </w:p>
    <w:p w14:paraId="3AE161DD" w14:textId="77777777" w:rsidR="00A25754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3741EA5" w14:textId="77777777" w:rsidR="00A25754" w:rsidRPr="00DF4719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t>Gyermekek és serdülők</w:t>
      </w:r>
    </w:p>
    <w:p w14:paraId="48C88518" w14:textId="77777777" w:rsidR="00A25754" w:rsidRPr="00A07C5C" w:rsidRDefault="00A25754" w:rsidP="00A2575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A DUROGESIC biztonságosságát három nyílt elrendezésű vizsgálatban, 289, krónikus fájdalomban szenvedő, 2</w:t>
      </w:r>
      <w:r w:rsidR="00EB441D">
        <w:noBreakHyphen/>
      </w:r>
      <w:r>
        <w:t>17</w:t>
      </w:r>
      <w:r w:rsidR="00EB441D">
        <w:t> év</w:t>
      </w:r>
      <w:r>
        <w:t>es gyermekgyógyászati betegnél értékelték. Közülük 80</w:t>
      </w:r>
      <w:r w:rsidR="00475D48">
        <w:t> </w:t>
      </w:r>
      <w:r>
        <w:t>gyermek 2</w:t>
      </w:r>
      <w:r w:rsidR="00EB441D">
        <w:noBreakHyphen/>
      </w:r>
      <w:r>
        <w:t>6</w:t>
      </w:r>
      <w:r w:rsidR="00EB441D">
        <w:t> év</w:t>
      </w:r>
      <w:r>
        <w:t>es volt. Az ebben a 3</w:t>
      </w:r>
      <w:r w:rsidR="00475D48">
        <w:t> </w:t>
      </w:r>
      <w:r>
        <w:t>vizsgálatb</w:t>
      </w:r>
      <w:r w:rsidR="00475D48">
        <w:t>a</w:t>
      </w:r>
      <w:r>
        <w:t xml:space="preserve"> bevont 289</w:t>
      </w:r>
      <w:r w:rsidR="00475D48">
        <w:t> </w:t>
      </w:r>
      <w:r>
        <w:t>beteg közül 110</w:t>
      </w:r>
      <w:r w:rsidR="00EB441D">
        <w:noBreakHyphen/>
      </w:r>
      <w:r>
        <w:t>nél kezdték a DUROGESIC</w:t>
      </w:r>
      <w:r w:rsidR="00EB441D">
        <w:noBreakHyphen/>
      </w:r>
      <w:r>
        <w:t>kezelést 12</w:t>
      </w:r>
      <w:r w:rsidR="00EB441D">
        <w:t> mikro</w:t>
      </w:r>
      <w:r>
        <w:t>gramm/órás adagolással. Ebből a 110</w:t>
      </w:r>
      <w:r w:rsidR="00475D48">
        <w:t> </w:t>
      </w:r>
      <w:r>
        <w:t>betegből 23</w:t>
      </w:r>
      <w:r w:rsidR="00475D48">
        <w:t> </w:t>
      </w:r>
      <w:r>
        <w:t>(20,9%) kapott korábban &lt;30</w:t>
      </w:r>
      <w:r w:rsidR="00EB441D">
        <w:t> mg</w:t>
      </w:r>
      <w:r>
        <w:t xml:space="preserve">/nap </w:t>
      </w:r>
      <w:r w:rsidR="00EB441D">
        <w:t>oralis</w:t>
      </w:r>
      <w:r>
        <w:t xml:space="preserve"> morfinnal ekvivalens opioidot, 66</w:t>
      </w:r>
      <w:r w:rsidR="00475D48">
        <w:t> </w:t>
      </w:r>
      <w:r>
        <w:t>(60,0%) kapott 30</w:t>
      </w:r>
      <w:r w:rsidR="00EB441D">
        <w:noBreakHyphen/>
      </w:r>
      <w:r>
        <w:t>44</w:t>
      </w:r>
      <w:r w:rsidR="00EB441D">
        <w:t> mg</w:t>
      </w:r>
      <w:r>
        <w:t xml:space="preserve">/nap </w:t>
      </w:r>
      <w:r w:rsidR="00EB441D">
        <w:t>oralis</w:t>
      </w:r>
      <w:r>
        <w:t xml:space="preserve"> morfinnal ekvivalens opioidot, és 12</w:t>
      </w:r>
      <w:r w:rsidR="00475D48">
        <w:t> </w:t>
      </w:r>
      <w:r>
        <w:t>(10,9%) kapott legalább 45</w:t>
      </w:r>
      <w:r w:rsidR="00EB441D">
        <w:t> mg</w:t>
      </w:r>
      <w:r>
        <w:t xml:space="preserve">/nap </w:t>
      </w:r>
      <w:r w:rsidR="00EB441D">
        <w:t>oralis</w:t>
      </w:r>
      <w:r>
        <w:t xml:space="preserve"> morfinnal ekvivalens opioidot, (9</w:t>
      </w:r>
      <w:r w:rsidR="00475D48">
        <w:t> </w:t>
      </w:r>
      <w:r>
        <w:t>beteg [8,2%] esetén nem állnak rendelkezésre adatok). A fennmaradó 179</w:t>
      </w:r>
      <w:r w:rsidR="00475D48">
        <w:t> </w:t>
      </w:r>
      <w:r>
        <w:t>betegnél 25</w:t>
      </w:r>
      <w:r w:rsidR="00EB441D">
        <w:t> mikro</w:t>
      </w:r>
      <w:r>
        <w:t>gramm/óra és magasabb kezdő adagot alkalmaztak, közülük 174</w:t>
      </w:r>
      <w:r w:rsidR="00475D48">
        <w:t> </w:t>
      </w:r>
      <w:r>
        <w:t>(97,2%) kapott legalább 45</w:t>
      </w:r>
      <w:r w:rsidR="00EB441D">
        <w:t> mg</w:t>
      </w:r>
      <w:r>
        <w:t xml:space="preserve">/nap </w:t>
      </w:r>
      <w:r w:rsidR="00EB441D">
        <w:t>oralis</w:t>
      </w:r>
      <w:r>
        <w:t xml:space="preserve"> morfinnal ekvivalens opioidot. A fennmaradó 5, legalább 25</w:t>
      </w:r>
      <w:r w:rsidR="00EB441D">
        <w:t> mikro</w:t>
      </w:r>
      <w:r>
        <w:t>gramm/óra kezdő adagot kapó beteg közül, akiknél a korábbi opioid dózis</w:t>
      </w:r>
      <w:r w:rsidR="00225876">
        <w:t xml:space="preserve"> </w:t>
      </w:r>
      <w:r>
        <w:t>&lt;45</w:t>
      </w:r>
      <w:r w:rsidR="00EB441D">
        <w:t> mg</w:t>
      </w:r>
      <w:r>
        <w:t xml:space="preserve">/nap </w:t>
      </w:r>
      <w:r w:rsidR="00EB441D">
        <w:t>oralis</w:t>
      </w:r>
      <w:r>
        <w:t xml:space="preserve"> morfinnal ekvivalens opioid volt, 1</w:t>
      </w:r>
      <w:r w:rsidR="00475D48">
        <w:t> </w:t>
      </w:r>
      <w:r>
        <w:t>(0,6%) kapott korábban &lt;30</w:t>
      </w:r>
      <w:r w:rsidR="00EB441D">
        <w:t> mg</w:t>
      </w:r>
      <w:r>
        <w:t xml:space="preserve">/nap </w:t>
      </w:r>
      <w:r w:rsidR="00EB441D">
        <w:t>oralis</w:t>
      </w:r>
      <w:r>
        <w:t xml:space="preserve"> morfinnal ekvivalens opioidot, és 4</w:t>
      </w:r>
      <w:r w:rsidR="00475D48">
        <w:t> </w:t>
      </w:r>
      <w:r>
        <w:t>(2,.2%) kapott 30</w:t>
      </w:r>
      <w:r w:rsidR="00EB441D">
        <w:noBreakHyphen/>
      </w:r>
      <w:r>
        <w:t>44</w:t>
      </w:r>
      <w:r w:rsidR="00EB441D">
        <w:t> mg</w:t>
      </w:r>
      <w:r>
        <w:t xml:space="preserve">/nap </w:t>
      </w:r>
      <w:r w:rsidR="00EB441D">
        <w:t>oralis</w:t>
      </w:r>
      <w:r>
        <w:t xml:space="preserve"> morfinnal ekvivalens opioidot (lásd 4.8</w:t>
      </w:r>
      <w:r w:rsidR="00456B89">
        <w:t> pont</w:t>
      </w:r>
      <w:r>
        <w:t>).</w:t>
      </w:r>
    </w:p>
    <w:p w14:paraId="4FA6CBF3" w14:textId="77777777" w:rsidR="00A25754" w:rsidRDefault="00A25754" w:rsidP="00A25754">
      <w:pPr>
        <w:spacing w:line="240" w:lineRule="auto"/>
        <w:jc w:val="both"/>
        <w:rPr>
          <w:bCs/>
          <w:iCs/>
          <w:szCs w:val="22"/>
        </w:rPr>
      </w:pPr>
    </w:p>
    <w:p w14:paraId="4CEB0823" w14:textId="77777777" w:rsidR="00A25754" w:rsidRDefault="00A25754" w:rsidP="00A25754">
      <w:pPr>
        <w:keepNext/>
        <w:keepLines/>
        <w:spacing w:line="240" w:lineRule="auto"/>
        <w:ind w:left="562" w:hanging="562"/>
        <w:rPr>
          <w:b/>
        </w:rPr>
      </w:pPr>
      <w:r>
        <w:rPr>
          <w:b/>
        </w:rPr>
        <w:t>5.2</w:t>
      </w:r>
      <w:r>
        <w:rPr>
          <w:b/>
        </w:rPr>
        <w:tab/>
        <w:t>Farmakokinetikai tulajdonságok</w:t>
      </w:r>
    </w:p>
    <w:p w14:paraId="6FA3FEE7" w14:textId="77777777" w:rsidR="00A25754" w:rsidRDefault="00A25754" w:rsidP="00A25754">
      <w:pPr>
        <w:spacing w:line="240" w:lineRule="auto"/>
        <w:ind w:left="567" w:hanging="567"/>
      </w:pPr>
    </w:p>
    <w:p w14:paraId="0176DC1B" w14:textId="77777777" w:rsidR="00A25754" w:rsidRDefault="00A25754" w:rsidP="00A25754">
      <w:pPr>
        <w:keepNext/>
        <w:keepLines/>
        <w:numPr>
          <w:ilvl w:val="12"/>
          <w:numId w:val="0"/>
        </w:numPr>
        <w:spacing w:line="240" w:lineRule="auto"/>
        <w:rPr>
          <w:iCs/>
          <w:szCs w:val="22"/>
          <w:u w:val="single"/>
        </w:rPr>
      </w:pPr>
      <w:r>
        <w:rPr>
          <w:u w:val="single"/>
        </w:rPr>
        <w:t>Felszívódás</w:t>
      </w:r>
    </w:p>
    <w:p w14:paraId="47E6B8C5" w14:textId="77777777" w:rsidR="00A25754" w:rsidRPr="00173FAA" w:rsidRDefault="00A25754" w:rsidP="00A25754">
      <w:pPr>
        <w:numPr>
          <w:ilvl w:val="12"/>
          <w:numId w:val="0"/>
        </w:numPr>
        <w:spacing w:line="240" w:lineRule="auto"/>
        <w:ind w:right="-2"/>
      </w:pPr>
      <w:r>
        <w:t>A DUROGESIC folyamatos szisztémás fentanil</w:t>
      </w:r>
      <w:r w:rsidR="00B75BF7">
        <w:t>-</w:t>
      </w:r>
      <w:r>
        <w:t>felszabadulást biztosít a 72</w:t>
      </w:r>
      <w:r w:rsidR="00225876">
        <w:t> órás</w:t>
      </w:r>
      <w:r>
        <w:t xml:space="preserve"> alkalmazási időszak alatt. A DUROGESIC alkalmazása után a rendszer alatti bőr felszívja a fentanilt, és a bőr felső rétegeiben egy fentanil</w:t>
      </w:r>
      <w:r w:rsidR="00EB441D">
        <w:noBreakHyphen/>
      </w:r>
      <w:r>
        <w:t>depó koncentrálódik. Ezt követően a fentanil bejuthat a szisztémás keringésbe. A polimer mátrix és a fentanil bőrrétegeken keresztül történő diffúziója biztosítja, hogy a felszabadulási sebesség viszonylag konstans.</w:t>
      </w:r>
      <w:r w:rsidR="00FC5CFF">
        <w:t xml:space="preserve"> </w:t>
      </w:r>
      <w:r>
        <w:t>A rendszer és a bőrben lévő alacsonyabb koncentráció között fennálló koncentrációkülönbség határozza meg a gyógyszer felszabadulását. A transzdermális tapasz felhelyezése után a fentanil átlagos biohasznosulása 92%.</w:t>
      </w:r>
    </w:p>
    <w:p w14:paraId="794B49E9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u w:val="double"/>
        </w:rPr>
      </w:pPr>
    </w:p>
    <w:p w14:paraId="585F6DF9" w14:textId="77777777" w:rsidR="00A25754" w:rsidRPr="00173FAA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A DUROGESIC első alkalmazását követően a szérum fentanil</w:t>
      </w:r>
      <w:r w:rsidR="00EB441D">
        <w:noBreakHyphen/>
      </w:r>
      <w:r>
        <w:t>koncentráció</w:t>
      </w:r>
      <w:r w:rsidR="00B75BF7">
        <w:t>ja</w:t>
      </w:r>
      <w:r>
        <w:t xml:space="preserve"> fokozatosan emelkedik, általában 12</w:t>
      </w:r>
      <w:r w:rsidR="00EB441D">
        <w:noBreakHyphen/>
      </w:r>
      <w:r>
        <w:t>24</w:t>
      </w:r>
      <w:r w:rsidR="00225876">
        <w:t> óra</w:t>
      </w:r>
      <w:r>
        <w:t xml:space="preserve"> között válik egyenletessé, és a 72</w:t>
      </w:r>
      <w:r w:rsidR="00225876">
        <w:t> órás</w:t>
      </w:r>
      <w:r>
        <w:t xml:space="preserve"> alkalmazási időszak további idejében viszonylag állandó marad. A második 72</w:t>
      </w:r>
      <w:r w:rsidR="00225876">
        <w:t> órás</w:t>
      </w:r>
      <w:r>
        <w:t xml:space="preserve"> alkalmazás végére dinamikus egyensúlyi állapot kerül elérésre, és azonos méretű tapaszok rákövetkező alkalmazásai alatt fennmarad. Dinamikus egyensúlyi állapotot kialakító adagolási intervallum esetén az AUC</w:t>
      </w:r>
      <w:r w:rsidR="00EB441D">
        <w:noBreakHyphen/>
      </w:r>
      <w:r>
        <w:t xml:space="preserve"> és C</w:t>
      </w:r>
      <w:r>
        <w:rPr>
          <w:vertAlign w:val="subscript"/>
        </w:rPr>
        <w:t>max</w:t>
      </w:r>
      <w:r w:rsidR="00EB441D">
        <w:noBreakHyphen/>
      </w:r>
      <w:r>
        <w:t>értékek akkumuláció miatt megközelítőleg 40%</w:t>
      </w:r>
      <w:r w:rsidR="00EB441D">
        <w:noBreakHyphen/>
      </w:r>
      <w:r>
        <w:t>kal magasabbak, mint egyszeri alkalmazás után. A betegek olyan dinamikus egyensúlyi állapotú szérumkoncentrációt érnek el, amit a bőr permeabilitásának és a szervezet fentanil</w:t>
      </w:r>
      <w:r w:rsidR="00EB441D">
        <w:noBreakHyphen/>
      </w:r>
      <w:r>
        <w:t>clearance</w:t>
      </w:r>
      <w:r w:rsidR="00EB441D">
        <w:noBreakHyphen/>
      </w:r>
      <w:r>
        <w:t>ének egyéni variációja határoz meg. A plazmakoncentrációk nagyfokú egyének közötti variabilitását figyelték meg.</w:t>
      </w:r>
    </w:p>
    <w:p w14:paraId="600ACCE3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1962FBBB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Egy farmakokinetikai modell arra utalt, hogy a szérum fentanil</w:t>
      </w:r>
      <w:r w:rsidR="00EB441D">
        <w:noBreakHyphen/>
      </w:r>
      <w:r>
        <w:t>koncentráció</w:t>
      </w:r>
      <w:r w:rsidR="00B75BF7">
        <w:t>ja</w:t>
      </w:r>
      <w:r>
        <w:t xml:space="preserve"> 14%</w:t>
      </w:r>
      <w:r w:rsidR="00EB441D">
        <w:noBreakHyphen/>
      </w:r>
      <w:r>
        <w:t>kal növekedhet (szélső értékek: 0</w:t>
      </w:r>
      <w:r w:rsidR="00EB441D">
        <w:noBreakHyphen/>
      </w:r>
      <w:r>
        <w:t>26%), ha az új tapaszt a javasolt, 72</w:t>
      </w:r>
      <w:r w:rsidR="00225876">
        <w:t> órás</w:t>
      </w:r>
      <w:r>
        <w:t xml:space="preserve"> alkalmazás helyett 24</w:t>
      </w:r>
      <w:r w:rsidR="00225876">
        <w:t> óra</w:t>
      </w:r>
      <w:r>
        <w:t xml:space="preserve"> múlva teszik fel.</w:t>
      </w:r>
    </w:p>
    <w:p w14:paraId="055FF18E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4CC2860A" w14:textId="77777777" w:rsidR="00A25754" w:rsidRPr="00FA1669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 w:rsidRPr="007E3877">
        <w:t>A bőrhőmérséklet emelkedése fokozhatja a transzdermálisan alkalmazott fentanil felszívódását (lásd 4.4</w:t>
      </w:r>
      <w:r w:rsidR="00456B89" w:rsidRPr="007E3877">
        <w:t> pont</w:t>
      </w:r>
      <w:r w:rsidRPr="007E3877">
        <w:t>). A DUROGESIC rendszer</w:t>
      </w:r>
      <w:r>
        <w:t xml:space="preserve"> egyszeri alkalmazásának első 10</w:t>
      </w:r>
      <w:r w:rsidR="00CC0D53">
        <w:t> </w:t>
      </w:r>
      <w:r>
        <w:t>órája alatt a bőr hőmérsékletének egy alacsony hőmérsékletre állított melegítő párna segítségével történő emelése a fentanil átlagos AUC</w:t>
      </w:r>
      <w:r w:rsidR="00EB441D">
        <w:noBreakHyphen/>
      </w:r>
      <w:r>
        <w:t>értékét 2,2</w:t>
      </w:r>
      <w:r w:rsidR="00EB441D">
        <w:noBreakHyphen/>
      </w:r>
      <w:r>
        <w:t>szeresére, és a melegítés végén az átlagos koncentrációt 61%</w:t>
      </w:r>
      <w:r w:rsidR="00EB441D">
        <w:noBreakHyphen/>
      </w:r>
      <w:r>
        <w:t>kal emelte.</w:t>
      </w:r>
    </w:p>
    <w:p w14:paraId="5D9D02FA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6B880663" w14:textId="77777777" w:rsidR="00A25754" w:rsidRDefault="00A25754" w:rsidP="00A25754">
      <w:pPr>
        <w:keepNext/>
        <w:numPr>
          <w:ilvl w:val="12"/>
          <w:numId w:val="0"/>
        </w:numPr>
        <w:spacing w:line="240" w:lineRule="auto"/>
        <w:rPr>
          <w:iCs/>
          <w:szCs w:val="22"/>
          <w:u w:val="single"/>
        </w:rPr>
      </w:pPr>
      <w:r>
        <w:rPr>
          <w:u w:val="single"/>
        </w:rPr>
        <w:t>Eloszlás</w:t>
      </w:r>
    </w:p>
    <w:p w14:paraId="5C69EE70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A fentanil gyorsan eloszlik a különböző szövetekben és szervekben, amit a nagy eloszlási térfogat is jelez (3</w:t>
      </w:r>
      <w:r w:rsidR="00EB441D">
        <w:noBreakHyphen/>
      </w:r>
      <w:r>
        <w:t>10</w:t>
      </w:r>
      <w:r w:rsidR="00A40182">
        <w:t> </w:t>
      </w:r>
      <w:r>
        <w:t>l/</w:t>
      </w:r>
      <w:r w:rsidR="00522443">
        <w:t>tt</w:t>
      </w:r>
      <w:r>
        <w:t>kg a betegeknek történő intravénás adagolás után). A fentanil akkumulálódik a vázizomzatban és a zsírban, és lassan szabadul fel a vérbe.</w:t>
      </w:r>
    </w:p>
    <w:p w14:paraId="66ED1CDF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31797D37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Transzdermális fentanillal kezelt, egy daganatos betegekkel végzett vizsgálatban a plazmafehérje kötődés átlagosan</w:t>
      </w:r>
      <w:r w:rsidR="00A40182">
        <w:t> </w:t>
      </w:r>
      <w:r>
        <w:t>95% volt (szélső értékek: 77</w:t>
      </w:r>
      <w:r w:rsidR="00EB441D">
        <w:noBreakHyphen/>
      </w:r>
      <w:r>
        <w:t>100%). A fentanil könnyen átjut a vér</w:t>
      </w:r>
      <w:r w:rsidR="00EB441D">
        <w:noBreakHyphen/>
      </w:r>
      <w:r>
        <w:t>agy gáton. Átjut a placentán is, és kiválasztódik az anyatejbe.</w:t>
      </w:r>
    </w:p>
    <w:p w14:paraId="1CC57788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5E8759FF" w14:textId="77777777" w:rsidR="00A25754" w:rsidRPr="00026BF2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  <w:u w:val="single"/>
        </w:rPr>
      </w:pPr>
      <w:r>
        <w:rPr>
          <w:u w:val="single"/>
        </w:rPr>
        <w:t>Biotranszformáció</w:t>
      </w:r>
    </w:p>
    <w:p w14:paraId="09947151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 xml:space="preserve">A </w:t>
      </w:r>
      <w:r w:rsidR="00B340B5">
        <w:t xml:space="preserve">fentanil </w:t>
      </w:r>
      <w:r>
        <w:t>magas clearance</w:t>
      </w:r>
      <w:r w:rsidR="00EB441D">
        <w:noBreakHyphen/>
      </w:r>
      <w:r>
        <w:t>ű hatóanyag, a</w:t>
      </w:r>
      <w:r w:rsidR="00B340B5">
        <w:t>mit</w:t>
      </w:r>
      <w:r>
        <w:t xml:space="preserve"> elsősorban a májban lévő CYP3A4 gyorsan és nagymértékben metabolizál. A fő metabolit, a norfentanil, és más metabolitok inaktívak. Úgy tűnik, a bőr nem metabolizálja a transzdermálisan bevitt fentanilt. Ezt humán keratinocyta sejtekkel végzett vizsgálatokban, és a klinikai vizsgálatokban határozták meg, amelyekben a rendszerből leadott dózis 92%</w:t>
      </w:r>
      <w:r w:rsidR="00EB441D">
        <w:noBreakHyphen/>
      </w:r>
      <w:r>
        <w:t>a adta azt a változatlan fentanilt, ami megjelent a szisztémás keringésben.</w:t>
      </w:r>
    </w:p>
    <w:p w14:paraId="1ECBF690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11BEA664" w14:textId="77777777" w:rsidR="00A25754" w:rsidRPr="00026BF2" w:rsidRDefault="00A25754" w:rsidP="00A25754">
      <w:pPr>
        <w:keepNext/>
        <w:numPr>
          <w:ilvl w:val="12"/>
          <w:numId w:val="0"/>
        </w:numPr>
        <w:spacing w:line="240" w:lineRule="auto"/>
        <w:rPr>
          <w:iCs/>
          <w:szCs w:val="22"/>
          <w:u w:val="single"/>
        </w:rPr>
      </w:pPr>
      <w:r>
        <w:rPr>
          <w:u w:val="single"/>
        </w:rPr>
        <w:t>Elimináció</w:t>
      </w:r>
    </w:p>
    <w:p w14:paraId="5A020705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A tapasz 72</w:t>
      </w:r>
      <w:r w:rsidR="00CC0D53">
        <w:t> </w:t>
      </w:r>
      <w:r>
        <w:t>órán át történő alkalmazását követően a fentanil átlagos felezési ideje 20</w:t>
      </w:r>
      <w:r w:rsidR="00EB441D">
        <w:noBreakHyphen/>
      </w:r>
      <w:r>
        <w:t>27</w:t>
      </w:r>
      <w:r w:rsidR="00225876">
        <w:t> óra</w:t>
      </w:r>
      <w:r>
        <w:t xml:space="preserve"> közé esik. A tapasz eltávolítását követően a fentanil bőrdepóból történő folyamatos felszívódásának eredményeként a transzdermális alkalmazás után a fentanil felezési ideje megközelítőleg 2</w:t>
      </w:r>
      <w:r w:rsidR="00EB441D">
        <w:noBreakHyphen/>
      </w:r>
      <w:r>
        <w:t>3</w:t>
      </w:r>
      <w:r w:rsidR="00EB441D">
        <w:noBreakHyphen/>
      </w:r>
      <w:r>
        <w:t>szor hosszabb, mint intravénás alkalmazás után.</w:t>
      </w:r>
    </w:p>
    <w:p w14:paraId="1AD4299A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584CCA2B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Intravénás alkalmazás után a vizsgálatokban a fentanil átlagos teljes clearance</w:t>
      </w:r>
      <w:r w:rsidR="00EB441D">
        <w:noBreakHyphen/>
      </w:r>
      <w:r>
        <w:t>értéke általánosságban 34</w:t>
      </w:r>
      <w:r w:rsidR="00CC0D53">
        <w:t> </w:t>
      </w:r>
      <w:r>
        <w:t>és</w:t>
      </w:r>
      <w:r w:rsidR="00CC0D53">
        <w:t> </w:t>
      </w:r>
      <w:r>
        <w:t>66</w:t>
      </w:r>
      <w:r w:rsidR="00CC0D53">
        <w:t> </w:t>
      </w:r>
      <w:r>
        <w:t>l/óra közé esik.</w:t>
      </w:r>
    </w:p>
    <w:p w14:paraId="14F4A991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0919E045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A fentanil intravénás alkalmazását követő 72</w:t>
      </w:r>
      <w:r w:rsidR="00CC0D53">
        <w:t> </w:t>
      </w:r>
      <w:r>
        <w:t>órán belül a dózis megközelítőleg 75%</w:t>
      </w:r>
      <w:r w:rsidR="00EB441D">
        <w:noBreakHyphen/>
      </w:r>
      <w:r>
        <w:t>a választódik ki a vizeletbe, és a dózis megközelítőleg 9%</w:t>
      </w:r>
      <w:r w:rsidR="00EB441D">
        <w:noBreakHyphen/>
      </w:r>
      <w:r>
        <w:t>a a székletbe. A kiválasztódás elsősorban metabolitok formájában történik, a kiválasztódott dózis kevesebb</w:t>
      </w:r>
      <w:r w:rsidR="00CC0D53">
        <w:t>,</w:t>
      </w:r>
      <w:r>
        <w:t xml:space="preserve"> mint 10%</w:t>
      </w:r>
      <w:r w:rsidR="00EB441D">
        <w:noBreakHyphen/>
      </w:r>
      <w:r>
        <w:t>a változatlan hatóanyag.</w:t>
      </w:r>
    </w:p>
    <w:p w14:paraId="40BD5A35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3B3A845D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  <w:u w:val="single"/>
        </w:rPr>
      </w:pPr>
      <w:r>
        <w:rPr>
          <w:u w:val="single"/>
        </w:rPr>
        <w:t>Linearitás/nem</w:t>
      </w:r>
      <w:r w:rsidR="00EB441D">
        <w:rPr>
          <w:u w:val="single"/>
        </w:rPr>
        <w:noBreakHyphen/>
      </w:r>
      <w:r>
        <w:rPr>
          <w:u w:val="single"/>
        </w:rPr>
        <w:t>linearitás</w:t>
      </w:r>
    </w:p>
    <w:p w14:paraId="4EF4A6D8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Az elért fentanil szérumkoncentrációk a DUROGESIC tapasz méretével arányosak. A transzdermális fentanil farmakokinetikai tulajdonságait nem változtatja meg az ismételt alkalmazás.</w:t>
      </w:r>
    </w:p>
    <w:p w14:paraId="1AB19C1D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  <w:u w:val="single"/>
        </w:rPr>
      </w:pPr>
    </w:p>
    <w:p w14:paraId="2ABED0BD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  <w:u w:val="single"/>
        </w:rPr>
      </w:pPr>
      <w:r>
        <w:rPr>
          <w:u w:val="single"/>
        </w:rPr>
        <w:t>Farmakokinetikai/farmakodinámiás összefüggések</w:t>
      </w:r>
    </w:p>
    <w:p w14:paraId="755AB215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Nagyfokú egyének közötti variabilitás észlelhető a fentanil farmakokinetikai tulajdonságaiban, a fentanil</w:t>
      </w:r>
      <w:r w:rsidR="00EB441D">
        <w:noBreakHyphen/>
      </w:r>
      <w:r>
        <w:t>koncentrációk, a terápiás</w:t>
      </w:r>
      <w:r w:rsidR="00EB441D">
        <w:noBreakHyphen/>
      </w:r>
      <w:r>
        <w:t xml:space="preserve"> és a mellékhatások közötti összefüggésben, valamint az opioid toleranciában. A minimálisan hatásos fentanil</w:t>
      </w:r>
      <w:r w:rsidR="00EB441D">
        <w:noBreakHyphen/>
      </w:r>
      <w:r>
        <w:t>koncentráció függ a fájdalomintenzitástól és a korábban alkalmazott opioid</w:t>
      </w:r>
      <w:r w:rsidR="00EB441D">
        <w:noBreakHyphen/>
      </w:r>
      <w:r>
        <w:t>kezeléstől. A toleranciával mind a minimálisan hatásos koncentráció, mind a toxikus koncentráció növekszik. Ezért a fentanil optimális terápiás</w:t>
      </w:r>
      <w:r w:rsidR="00EB441D">
        <w:noBreakHyphen/>
      </w:r>
      <w:r>
        <w:t>koncentráció tartománya nem állapítható meg. Az egyéni fentanil</w:t>
      </w:r>
      <w:r w:rsidR="00CD6B91">
        <w:t>-</w:t>
      </w:r>
      <w:r>
        <w:t>dózis módosítása a beteg válaszreakcióján és toleranciaszintjén kell</w:t>
      </w:r>
      <w:r w:rsidR="00CC0D53">
        <w:t>, hogy</w:t>
      </w:r>
      <w:r>
        <w:t xml:space="preserve"> alapuljon. Egy, az első tapasz alkalmazása és a dózis emelése utáni 12</w:t>
      </w:r>
      <w:r w:rsidR="00EB441D">
        <w:noBreakHyphen/>
      </w:r>
      <w:r>
        <w:t>24</w:t>
      </w:r>
      <w:r w:rsidR="00225876">
        <w:t> órás</w:t>
      </w:r>
      <w:r>
        <w:t xml:space="preserve"> latenciaidővel kell számolni.</w:t>
      </w:r>
    </w:p>
    <w:p w14:paraId="336EBE26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  <w:u w:val="single"/>
        </w:rPr>
      </w:pPr>
    </w:p>
    <w:p w14:paraId="3A818EA6" w14:textId="77777777" w:rsidR="00A25754" w:rsidRPr="009132F3" w:rsidRDefault="00522443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  <w:u w:val="single"/>
        </w:rPr>
      </w:pPr>
      <w:r>
        <w:rPr>
          <w:u w:val="single"/>
        </w:rPr>
        <w:t>Különleges betegcsoportok</w:t>
      </w:r>
    </w:p>
    <w:p w14:paraId="174A3DCA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/>
          <w:iCs/>
          <w:szCs w:val="22"/>
        </w:rPr>
      </w:pPr>
    </w:p>
    <w:p w14:paraId="16312CCD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/>
          <w:iCs/>
          <w:szCs w:val="22"/>
        </w:rPr>
      </w:pPr>
      <w:r>
        <w:rPr>
          <w:i/>
        </w:rPr>
        <w:t>Idős</w:t>
      </w:r>
      <w:r w:rsidR="006B225F">
        <w:rPr>
          <w:i/>
        </w:rPr>
        <w:t>ek</w:t>
      </w:r>
    </w:p>
    <w:p w14:paraId="779073B6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A fentanillal végzett intravénás vizsgálatok adatai arra utalnak, hogy idős betegeknél a clearance csökkenhet, a felezési idő megnyúlhat, és ők érzékenyebbek lehetnek a gyógyszerre, mint a fiatalabb betegek. Egy a DUROGESIC</w:t>
      </w:r>
      <w:r w:rsidR="00EB441D">
        <w:noBreakHyphen/>
      </w:r>
      <w:r>
        <w:t>kel végzett vizsgálatban az egészséges idős vizsgálati alanyoknál a fentanil farmakokinetikája nem tért el jelentősen az egészséges fiatal vizsgálati alanyoknál észlelttől, bár a szérum csúcskoncentrációk tendenciózusan alacsonyabbak voltak, és az átlagos felezési idők megközelítőleg 34</w:t>
      </w:r>
      <w:r w:rsidR="00CC0D53">
        <w:t> </w:t>
      </w:r>
      <w:r>
        <w:t>órára nyúltak. Az idős betege</w:t>
      </w:r>
      <w:r w:rsidR="00AF6223">
        <w:t>k</w:t>
      </w:r>
      <w:r>
        <w:t>nél gondosan ellenőrizni kell a fentanil</w:t>
      </w:r>
      <w:r w:rsidR="00CD6B91">
        <w:t>-</w:t>
      </w:r>
      <w:r>
        <w:t>toxicitás okozta tüneteket, és amennyiben szükséges, a dózist csökkenteni kell (lásd 4.4</w:t>
      </w:r>
      <w:r w:rsidR="00456B89">
        <w:t> pont</w:t>
      </w:r>
      <w:r>
        <w:t>).</w:t>
      </w:r>
    </w:p>
    <w:p w14:paraId="7BB3F2A4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41708293" w14:textId="77777777" w:rsidR="00A25754" w:rsidRPr="009132F3" w:rsidRDefault="00481EB0" w:rsidP="00A25754">
      <w:pPr>
        <w:numPr>
          <w:ilvl w:val="12"/>
          <w:numId w:val="0"/>
        </w:numPr>
        <w:spacing w:line="240" w:lineRule="auto"/>
        <w:ind w:right="-2"/>
        <w:rPr>
          <w:i/>
          <w:iCs/>
          <w:szCs w:val="22"/>
        </w:rPr>
      </w:pPr>
      <w:r>
        <w:rPr>
          <w:i/>
        </w:rPr>
        <w:t>V</w:t>
      </w:r>
      <w:r w:rsidR="00A25754">
        <w:rPr>
          <w:i/>
        </w:rPr>
        <w:t>ese</w:t>
      </w:r>
      <w:r>
        <w:rPr>
          <w:i/>
        </w:rPr>
        <w:t>károsodás</w:t>
      </w:r>
    </w:p>
    <w:p w14:paraId="144E2B21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A vese</w:t>
      </w:r>
      <w:r w:rsidR="00481EB0">
        <w:t>károsodás</w:t>
      </w:r>
      <w:r>
        <w:t xml:space="preserve"> fentanil farmakokinetikájára gyakorolt hatása várhatóan korlátozott, mert a változatlan formájú fentanil vizelettel történő excretiója kevesebb</w:t>
      </w:r>
      <w:r w:rsidR="00CC0D53">
        <w:t>,</w:t>
      </w:r>
      <w:r>
        <w:t xml:space="preserve"> mint</w:t>
      </w:r>
      <w:r w:rsidR="00CC0D53">
        <w:t> </w:t>
      </w:r>
      <w:r>
        <w:t>10%, és nincsenek a vesék által kiválasztott, ismert aktív metabolitok. Ugyanakkor, mivel a beszűkült veseműködésnek a fentanil farmakokinetikai tulajdonságaira gyakorolt hatását nem vizsgálták, elővigyázatosság javasolt (lásd 4.2 és 4.4</w:t>
      </w:r>
      <w:r w:rsidR="00456B89">
        <w:t> pont</w:t>
      </w:r>
      <w:r>
        <w:t>).</w:t>
      </w:r>
    </w:p>
    <w:p w14:paraId="15D94FC8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4CD66760" w14:textId="77777777" w:rsidR="00A25754" w:rsidRPr="009132F3" w:rsidRDefault="00481EB0" w:rsidP="00A25754">
      <w:pPr>
        <w:numPr>
          <w:ilvl w:val="12"/>
          <w:numId w:val="0"/>
        </w:numPr>
        <w:spacing w:line="240" w:lineRule="auto"/>
        <w:ind w:right="-2"/>
        <w:rPr>
          <w:i/>
          <w:iCs/>
          <w:szCs w:val="22"/>
        </w:rPr>
      </w:pPr>
      <w:r>
        <w:rPr>
          <w:i/>
        </w:rPr>
        <w:t>M</w:t>
      </w:r>
      <w:r w:rsidR="00A25754">
        <w:rPr>
          <w:i/>
        </w:rPr>
        <w:t>áj</w:t>
      </w:r>
      <w:r>
        <w:rPr>
          <w:i/>
        </w:rPr>
        <w:t>károsodás</w:t>
      </w:r>
    </w:p>
    <w:p w14:paraId="58489ECC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t>A májkárosodásban szenvedő betegeknél gondosan ellenőrizni kell a fentanil</w:t>
      </w:r>
      <w:r w:rsidR="00CD6B91">
        <w:t>-</w:t>
      </w:r>
      <w:r>
        <w:t>toxicitás okozta tüneteket, és amennyiben szükséges, a DUROGESIC dózisát csökkenteni kell (lásd 4.4</w:t>
      </w:r>
      <w:r w:rsidR="00456B89">
        <w:t> pont</w:t>
      </w:r>
      <w:r>
        <w:t xml:space="preserve">). A transzdermális fentanillal kezelt, cirrhosisos betegekkel nyert, valamint a különböző mértékben </w:t>
      </w:r>
      <w:r w:rsidR="00093024">
        <w:t>károsodott</w:t>
      </w:r>
      <w:r>
        <w:t xml:space="preserve"> májműködésű betegek esetén szimulált adatok arra utalnak, hogy a normális májműködésű betegekhez képest a fentanil</w:t>
      </w:r>
      <w:r w:rsidR="00EB441D">
        <w:noBreakHyphen/>
      </w:r>
      <w:r>
        <w:t>koncentráció növekedhet, és a fentanil</w:t>
      </w:r>
      <w:r w:rsidR="00EB441D">
        <w:noBreakHyphen/>
      </w:r>
      <w:r>
        <w:t>clearance csökkenhet. A szimulációk arra utalnak, hogy a Child</w:t>
      </w:r>
      <w:r w:rsidR="00EB441D">
        <w:noBreakHyphen/>
      </w:r>
      <w:r>
        <w:t>Pugh B stádiumú (Child</w:t>
      </w:r>
      <w:r w:rsidR="00EB441D">
        <w:noBreakHyphen/>
      </w:r>
      <w:r>
        <w:t>Pugh</w:t>
      </w:r>
      <w:r w:rsidR="00456B89">
        <w:t> pont</w:t>
      </w:r>
      <w:r>
        <w:t>szám=8)</w:t>
      </w:r>
      <w:r w:rsidR="00225876">
        <w:t xml:space="preserve"> </w:t>
      </w:r>
      <w:r>
        <w:t>májbetegségben szenvedő betegek dinamikus egyensúlyi állapotú AUC</w:t>
      </w:r>
      <w:r w:rsidR="00EB441D">
        <w:noBreakHyphen/>
      </w:r>
      <w:r>
        <w:t>je megközelítőleg 1,36</w:t>
      </w:r>
      <w:r w:rsidR="00EB441D">
        <w:noBreakHyphen/>
      </w:r>
      <w:r>
        <w:t>szor magasabb lehet, mint a normális májműködésű betegeké (A stádium; Child</w:t>
      </w:r>
      <w:r w:rsidR="00EB441D">
        <w:noBreakHyphen/>
      </w:r>
      <w:r>
        <w:t>Pugh</w:t>
      </w:r>
      <w:r w:rsidR="00456B89">
        <w:t> pont</w:t>
      </w:r>
      <w:r>
        <w:t>szám=5,5). A C stádiumú májbetegségben szenvedő betegek esetén (Child</w:t>
      </w:r>
      <w:r w:rsidR="00EB441D">
        <w:noBreakHyphen/>
      </w:r>
      <w:r>
        <w:t>Pugh</w:t>
      </w:r>
      <w:r w:rsidR="00456B89">
        <w:t> pont</w:t>
      </w:r>
      <w:r>
        <w:t>szám=12,5) az eredmények azt mutatják, hogy a fentanil</w:t>
      </w:r>
      <w:r w:rsidR="00EB441D">
        <w:noBreakHyphen/>
      </w:r>
      <w:r>
        <w:t>koncentráció minden egyes alkalmazással akkumulálódik, ami ezeknél a betegeknél dinamikus egyensúlyi állapot mellett megközelítőleg 3,72</w:t>
      </w:r>
      <w:r w:rsidR="00EB441D">
        <w:noBreakHyphen/>
      </w:r>
      <w:r>
        <w:t>szor magasabb AUC</w:t>
      </w:r>
      <w:r w:rsidR="00EB441D">
        <w:noBreakHyphen/>
      </w:r>
      <w:r>
        <w:t>hez vezet.</w:t>
      </w:r>
    </w:p>
    <w:p w14:paraId="7500D88A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3C801D92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/>
          <w:iCs/>
          <w:szCs w:val="22"/>
        </w:rPr>
      </w:pPr>
      <w:r>
        <w:rPr>
          <w:i/>
        </w:rPr>
        <w:t>Gyermekek és serdülők</w:t>
      </w:r>
    </w:p>
    <w:p w14:paraId="19FB3233" w14:textId="77777777" w:rsidR="00A25754" w:rsidRPr="00E306DF" w:rsidRDefault="00A25754" w:rsidP="00A25754">
      <w:pPr>
        <w:numPr>
          <w:ilvl w:val="12"/>
          <w:numId w:val="0"/>
        </w:numPr>
        <w:spacing w:line="240" w:lineRule="auto"/>
        <w:ind w:right="-2"/>
      </w:pPr>
      <w:r>
        <w:t>A fentanil</w:t>
      </w:r>
      <w:r w:rsidR="00EB441D">
        <w:noBreakHyphen/>
      </w:r>
      <w:r>
        <w:t>koncentrációkat több mint 250, 2</w:t>
      </w:r>
      <w:r w:rsidR="00EB441D">
        <w:noBreakHyphen/>
      </w:r>
      <w:r>
        <w:t>17</w:t>
      </w:r>
      <w:r w:rsidR="00EB441D">
        <w:t> év</w:t>
      </w:r>
      <w:r>
        <w:t>es olyan gyermeknél mérték, akinél 12,5</w:t>
      </w:r>
      <w:r w:rsidR="00EB441D">
        <w:noBreakHyphen/>
      </w:r>
      <w:r>
        <w:t>300</w:t>
      </w:r>
      <w:r w:rsidR="00EB441D">
        <w:t> mikro</w:t>
      </w:r>
      <w:r>
        <w:t xml:space="preserve">gramm/óra dózistartományban alkalmaztak fentanil tapaszt. A testtömegre történő korrekció után úgy tűnik, hogy a clearance </w:t>
      </w:r>
      <w:r w:rsidR="00AF6223">
        <w:t xml:space="preserve">(l/óra/kg) </w:t>
      </w:r>
      <w:r>
        <w:t>megközelítőleg 80%</w:t>
      </w:r>
      <w:r w:rsidR="00EB441D">
        <w:noBreakHyphen/>
      </w:r>
      <w:r>
        <w:t>kal magasabb a 2</w:t>
      </w:r>
      <w:r w:rsidR="00EB441D">
        <w:noBreakHyphen/>
      </w:r>
      <w:r>
        <w:t>5</w:t>
      </w:r>
      <w:r w:rsidR="00EB441D">
        <w:t> év</w:t>
      </w:r>
      <w:r>
        <w:t>es gyermekeknél, és 25%</w:t>
      </w:r>
      <w:r w:rsidR="00EB441D">
        <w:noBreakHyphen/>
      </w:r>
      <w:r>
        <w:t>kal magasabb a 6</w:t>
      </w:r>
      <w:r w:rsidR="00EB441D">
        <w:noBreakHyphen/>
      </w:r>
      <w:r>
        <w:t>10</w:t>
      </w:r>
      <w:r w:rsidR="00EB441D">
        <w:t> év</w:t>
      </w:r>
      <w:r>
        <w:t>es gyermekeknél, mint a 11</w:t>
      </w:r>
      <w:r w:rsidR="00EB441D">
        <w:noBreakHyphen/>
      </w:r>
      <w:r>
        <w:t>16</w:t>
      </w:r>
      <w:r w:rsidR="00EB441D">
        <w:t> év</w:t>
      </w:r>
      <w:r>
        <w:t>es gyermekeknél, akiknél a clearance várhatóan a felnőttekéhez hasonló. Ezeket az eredményeket a gyermekgyógyászati betegekre vonatkozó dózisajánlások meghatározása esetén mérlegelni kell (lásd 4.2 és 4.4</w:t>
      </w:r>
      <w:r w:rsidR="00456B89">
        <w:t> pont</w:t>
      </w:r>
      <w:r>
        <w:t>).</w:t>
      </w:r>
    </w:p>
    <w:p w14:paraId="54C17EEE" w14:textId="77777777" w:rsidR="00A25754" w:rsidRPr="009132F3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</w:p>
    <w:p w14:paraId="1E2F5757" w14:textId="77777777" w:rsidR="00A25754" w:rsidRDefault="00A25754" w:rsidP="00A25754">
      <w:pPr>
        <w:spacing w:line="240" w:lineRule="auto"/>
        <w:ind w:left="567" w:hanging="567"/>
      </w:pPr>
      <w:r>
        <w:rPr>
          <w:b/>
        </w:rPr>
        <w:t>5.3</w:t>
      </w:r>
      <w:r>
        <w:rPr>
          <w:b/>
        </w:rPr>
        <w:tab/>
        <w:t>A preklinikai biztonságossági vizsgálatok eredményei</w:t>
      </w:r>
    </w:p>
    <w:p w14:paraId="19366725" w14:textId="77777777" w:rsidR="00A25754" w:rsidRDefault="00A25754" w:rsidP="00A25754">
      <w:pPr>
        <w:spacing w:line="240" w:lineRule="auto"/>
      </w:pPr>
    </w:p>
    <w:p w14:paraId="571FB54E" w14:textId="77777777" w:rsidR="00A25754" w:rsidRDefault="00A25754" w:rsidP="00A25754">
      <w:pPr>
        <w:spacing w:line="240" w:lineRule="auto"/>
      </w:pPr>
      <w:r>
        <w:t xml:space="preserve">A hagyományos </w:t>
      </w:r>
      <w:r>
        <w:rPr>
          <w:cs/>
        </w:rPr>
        <w:t xml:space="preserve">– </w:t>
      </w:r>
      <w:r>
        <w:t xml:space="preserve">ismételt adagolású dózistoxicitási </w:t>
      </w:r>
      <w:r>
        <w:rPr>
          <w:cs/>
        </w:rPr>
        <w:t xml:space="preserve">– </w:t>
      </w:r>
      <w:r>
        <w:t>vizsgálatokból származó nem klinikai jellegű adatok azt igazolták, hogy a készítmény alkalmazásakor humán vonatkozásban különleges kockázat nem várható.</w:t>
      </w:r>
    </w:p>
    <w:p w14:paraId="767B5A62" w14:textId="77777777" w:rsidR="00A25754" w:rsidRDefault="00A25754" w:rsidP="00A25754">
      <w:pPr>
        <w:spacing w:line="240" w:lineRule="auto"/>
      </w:pPr>
    </w:p>
    <w:p w14:paraId="754754C3" w14:textId="77777777" w:rsidR="00A25754" w:rsidRDefault="00A25754" w:rsidP="00A25754">
      <w:pPr>
        <w:spacing w:line="240" w:lineRule="auto"/>
      </w:pPr>
      <w:r>
        <w:t xml:space="preserve">Standard reprodukciós és fejlődéstoxicitási vizsgálatokat végeztek, </w:t>
      </w:r>
      <w:r w:rsidR="00EB441D">
        <w:t>parenteralis</w:t>
      </w:r>
      <w:r>
        <w:t>an adott</w:t>
      </w:r>
      <w:r w:rsidR="005A53A6">
        <w:t xml:space="preserve"> </w:t>
      </w:r>
      <w:r>
        <w:t>fentanillal. Egy patkányokkal végzett vizsgálatban a fentanil nem befolyásolta a hím fertilitást. A nőstény patkányokkal végzett néhány vizsgálat csökkent fertilitást és fokozott embrionális mortalitást tárt fel.</w:t>
      </w:r>
    </w:p>
    <w:p w14:paraId="4C8BC416" w14:textId="77777777" w:rsidR="00A25754" w:rsidRDefault="00A25754" w:rsidP="00A25754">
      <w:pPr>
        <w:spacing w:line="240" w:lineRule="auto"/>
      </w:pPr>
    </w:p>
    <w:p w14:paraId="28EE5497" w14:textId="77777777" w:rsidR="00A25754" w:rsidRDefault="00A25754" w:rsidP="00A25754">
      <w:pPr>
        <w:spacing w:line="240" w:lineRule="auto"/>
      </w:pPr>
      <w:r>
        <w:t>Az embrióra gyakorolt hatások az anyai toxicitás következményei voltak, és nem a hatóanyagnak a fejlődő embrióra gyakorolt, közvetlen hatásai okozták. Két fajjal (patkányok és nyulak) végzett vizsgálatokban nem volt teratogén hatásokra utaló jel. Egy, a pre</w:t>
      </w:r>
      <w:r w:rsidR="00EB441D">
        <w:noBreakHyphen/>
      </w:r>
      <w:r>
        <w:t xml:space="preserve"> és posztnatális fejlődési vizsgálatban az utódok túlélési aránya jelentősen</w:t>
      </w:r>
      <w:r w:rsidR="005A53A6">
        <w:t xml:space="preserve"> </w:t>
      </w:r>
      <w:r>
        <w:t>csökkent az olyan dózisok mellett, amelyek kismértékben csökkentették az anyai testtömeget. Ez a hatás egyaránt lehet a megváltozott</w:t>
      </w:r>
      <w:r w:rsidR="005A53A6">
        <w:t xml:space="preserve"> </w:t>
      </w:r>
      <w:r>
        <w:t>anyai gondoskodás, vagy a fentanilnak a kölykökre gyakorolt, közvetlen hatásának a következménye. Az utódok szomatikus fejlődésére és viselkedésére gyakorolt hatásokat</w:t>
      </w:r>
      <w:r w:rsidR="005A53A6">
        <w:t xml:space="preserve"> </w:t>
      </w:r>
      <w:r>
        <w:t>nem észleltek.</w:t>
      </w:r>
    </w:p>
    <w:p w14:paraId="5A2FDB1A" w14:textId="77777777" w:rsidR="00A25754" w:rsidRDefault="00A25754" w:rsidP="00A25754">
      <w:pPr>
        <w:spacing w:line="240" w:lineRule="auto"/>
      </w:pPr>
    </w:p>
    <w:p w14:paraId="78F561C3" w14:textId="77777777" w:rsidR="00A25754" w:rsidRDefault="00A25754" w:rsidP="00A25754">
      <w:pPr>
        <w:spacing w:line="240" w:lineRule="auto"/>
      </w:pPr>
      <w:r>
        <w:t xml:space="preserve">A baktériumokkal és rágcsálókkal végzett mutagenitási vizsgálatok negatív eredményt adtak. Emlős sejteken </w:t>
      </w:r>
      <w:r>
        <w:rPr>
          <w:i/>
        </w:rPr>
        <w:t>in vitro</w:t>
      </w:r>
      <w:r>
        <w:t xml:space="preserve"> a fentanil más opioid fájdalomcsillapítókhoz hasonló mutagén hatásokat indukált. A terápiás dózisok alkalmazása esetén a mutagén kockázat nem valószínű, mivel ezek a hatások csak magas koncentrációk mellett mutatkoznak.</w:t>
      </w:r>
    </w:p>
    <w:p w14:paraId="78B47690" w14:textId="77777777" w:rsidR="00A25754" w:rsidRDefault="00A25754" w:rsidP="00A25754">
      <w:pPr>
        <w:spacing w:line="240" w:lineRule="auto"/>
      </w:pPr>
    </w:p>
    <w:p w14:paraId="3E3574EA" w14:textId="77777777" w:rsidR="00A25754" w:rsidRDefault="00A25754" w:rsidP="00A25754">
      <w:pPr>
        <w:spacing w:line="240" w:lineRule="auto"/>
      </w:pPr>
      <w:r>
        <w:t>Egy karcinogenitási vizsgálat (fentanil</w:t>
      </w:r>
      <w:r w:rsidR="00EB441D">
        <w:noBreakHyphen/>
      </w:r>
      <w:r>
        <w:t>hidroklorid naponkénti subcutan injekciója két</w:t>
      </w:r>
      <w:r w:rsidR="00EB441D">
        <w:t> év</w:t>
      </w:r>
      <w:r>
        <w:t>en keresztül, Sprague Dawley patkányoknál) nem jelzett semmilyen, onkogén potenciálra utaló eredményt.</w:t>
      </w:r>
    </w:p>
    <w:p w14:paraId="23D2FF90" w14:textId="77777777" w:rsidR="00A25754" w:rsidRPr="008C4226" w:rsidRDefault="00A25754" w:rsidP="00A25754">
      <w:pPr>
        <w:spacing w:line="240" w:lineRule="auto"/>
      </w:pPr>
    </w:p>
    <w:p w14:paraId="70A306E2" w14:textId="77777777" w:rsidR="00A25754" w:rsidRPr="003D686B" w:rsidRDefault="00A25754" w:rsidP="00A25754">
      <w:pPr>
        <w:spacing w:line="240" w:lineRule="auto"/>
        <w:rPr>
          <w:bCs/>
        </w:rPr>
      </w:pPr>
    </w:p>
    <w:p w14:paraId="394C088F" w14:textId="77777777" w:rsidR="00A25754" w:rsidRDefault="00A25754" w:rsidP="00A25754">
      <w:pPr>
        <w:spacing w:line="240" w:lineRule="auto"/>
        <w:ind w:left="567" w:hanging="567"/>
        <w:rPr>
          <w:b/>
        </w:rPr>
      </w:pPr>
      <w:r>
        <w:rPr>
          <w:b/>
        </w:rPr>
        <w:t>6.</w:t>
      </w:r>
      <w:r>
        <w:rPr>
          <w:b/>
        </w:rPr>
        <w:tab/>
        <w:t>GYÓGYSZERÉSZETI JELLEMZŐK</w:t>
      </w:r>
    </w:p>
    <w:p w14:paraId="34F1248D" w14:textId="77777777" w:rsidR="00A25754" w:rsidRPr="003D686B" w:rsidRDefault="00A25754" w:rsidP="00A25754">
      <w:pPr>
        <w:spacing w:line="240" w:lineRule="auto"/>
        <w:rPr>
          <w:bCs/>
        </w:rPr>
      </w:pPr>
    </w:p>
    <w:p w14:paraId="2213FD75" w14:textId="77777777" w:rsidR="00A25754" w:rsidRDefault="00A25754" w:rsidP="00A25754">
      <w:pPr>
        <w:spacing w:line="240" w:lineRule="auto"/>
        <w:ind w:left="567" w:hanging="567"/>
        <w:rPr>
          <w:b/>
        </w:rPr>
      </w:pPr>
      <w:r>
        <w:rPr>
          <w:b/>
        </w:rPr>
        <w:t>6.1</w:t>
      </w:r>
      <w:r>
        <w:rPr>
          <w:b/>
        </w:rPr>
        <w:tab/>
        <w:t>Segédanyagok felsorolása</w:t>
      </w:r>
    </w:p>
    <w:p w14:paraId="73EF28E0" w14:textId="77777777" w:rsidR="00A25754" w:rsidRDefault="00A25754" w:rsidP="00A25754">
      <w:pPr>
        <w:spacing w:line="240" w:lineRule="auto"/>
      </w:pPr>
    </w:p>
    <w:p w14:paraId="38FFFC22" w14:textId="77777777" w:rsidR="00B0401C" w:rsidRDefault="00B0401C" w:rsidP="00A25754">
      <w:pPr>
        <w:spacing w:line="240" w:lineRule="auto"/>
      </w:pPr>
      <w:r>
        <w:t xml:space="preserve">Hátlap: </w:t>
      </w:r>
      <w:r w:rsidR="006B6554">
        <w:tab/>
      </w:r>
      <w:r w:rsidR="006B6554">
        <w:tab/>
      </w:r>
      <w:r w:rsidR="006B6554">
        <w:tab/>
      </w:r>
      <w:r w:rsidR="006B6554">
        <w:tab/>
      </w:r>
      <w:r w:rsidR="006B6554" w:rsidRPr="00755340">
        <w:t>poli</w:t>
      </w:r>
      <w:r w:rsidR="006B6554">
        <w:t>észter</w:t>
      </w:r>
      <w:r w:rsidR="006B6554" w:rsidRPr="00755340">
        <w:t>/etilén-vinilacetát kopolimer</w:t>
      </w:r>
      <w:r w:rsidR="006B6554">
        <w:t xml:space="preserve"> film,</w:t>
      </w:r>
    </w:p>
    <w:p w14:paraId="4F786769" w14:textId="77777777" w:rsidR="00B0401C" w:rsidRPr="00755340" w:rsidRDefault="006B6554" w:rsidP="00B0401C">
      <w:pPr>
        <w:spacing w:line="240" w:lineRule="auto"/>
      </w:pPr>
      <w:r>
        <w:t xml:space="preserve">Védőlap: </w:t>
      </w:r>
      <w:r>
        <w:tab/>
      </w:r>
      <w:r>
        <w:tab/>
      </w:r>
      <w:r>
        <w:tab/>
      </w:r>
      <w:r>
        <w:tab/>
      </w:r>
      <w:r w:rsidR="00B0401C" w:rsidRPr="00755340">
        <w:t>szilikonozott</w:t>
      </w:r>
      <w:r>
        <w:t xml:space="preserve"> poliészter film,</w:t>
      </w:r>
    </w:p>
    <w:p w14:paraId="592416C9" w14:textId="77777777" w:rsidR="00B0401C" w:rsidRPr="006B6554" w:rsidRDefault="006B6554" w:rsidP="00755340">
      <w:pPr>
        <w:spacing w:line="240" w:lineRule="auto"/>
      </w:pPr>
      <w:r>
        <w:t>H</w:t>
      </w:r>
      <w:r w:rsidRPr="006B6554">
        <w:t>atóanyagot tartalmazó réteg:</w:t>
      </w:r>
      <w:r>
        <w:t xml:space="preserve"> </w:t>
      </w:r>
      <w:r>
        <w:tab/>
        <w:t xml:space="preserve">poliakrilát </w:t>
      </w:r>
      <w:r w:rsidRPr="00755340">
        <w:t>tapadást biztosító anyag</w:t>
      </w:r>
      <w:r w:rsidR="00065401">
        <w:t>.</w:t>
      </w:r>
    </w:p>
    <w:p w14:paraId="588B0F95" w14:textId="77777777" w:rsidR="00AF0E46" w:rsidRPr="003D686B" w:rsidRDefault="00AF0E46" w:rsidP="00755340">
      <w:pPr>
        <w:spacing w:line="240" w:lineRule="auto"/>
        <w:rPr>
          <w:bCs/>
        </w:rPr>
      </w:pPr>
    </w:p>
    <w:p w14:paraId="69E1BCEA" w14:textId="77777777" w:rsidR="006B6554" w:rsidRPr="006B6554" w:rsidRDefault="006B6554" w:rsidP="00755340">
      <w:pPr>
        <w:spacing w:line="240" w:lineRule="auto"/>
      </w:pPr>
      <w:r>
        <w:t>Fe</w:t>
      </w:r>
      <w:r w:rsidRPr="006B6554">
        <w:t>sték</w:t>
      </w:r>
      <w:r>
        <w:t xml:space="preserve"> (</w:t>
      </w:r>
      <w:r w:rsidR="004745C6">
        <w:t xml:space="preserve">a </w:t>
      </w:r>
      <w:r>
        <w:t>hátlapon)</w:t>
      </w:r>
      <w:r w:rsidRPr="006B6554">
        <w:t>:</w:t>
      </w:r>
    </w:p>
    <w:p w14:paraId="14194B88" w14:textId="77777777" w:rsidR="006B6554" w:rsidRPr="003D686B" w:rsidRDefault="006B6554" w:rsidP="00755340">
      <w:pPr>
        <w:spacing w:line="240" w:lineRule="auto"/>
        <w:rPr>
          <w:bCs/>
        </w:rPr>
      </w:pPr>
    </w:p>
    <w:p w14:paraId="297350D0" w14:textId="77777777" w:rsidR="00755340" w:rsidRPr="001950AB" w:rsidRDefault="007818EF" w:rsidP="00755340">
      <w:pPr>
        <w:spacing w:line="240" w:lineRule="auto"/>
        <w:rPr>
          <w:color w:val="000000"/>
          <w:u w:val="single"/>
        </w:rPr>
      </w:pPr>
      <w:r w:rsidRPr="001950AB">
        <w:rPr>
          <w:color w:val="000000"/>
          <w:u w:val="single"/>
        </w:rPr>
        <w:t>DUROGESIC 12 mikro</w:t>
      </w:r>
      <w:r w:rsidR="00555E1C" w:rsidRPr="001950AB">
        <w:rPr>
          <w:color w:val="000000"/>
          <w:u w:val="single"/>
        </w:rPr>
        <w:t>gramm/óra transzdermális tapasz</w:t>
      </w:r>
    </w:p>
    <w:p w14:paraId="47EFFC13" w14:textId="77777777" w:rsidR="00755340" w:rsidRPr="009F5F72" w:rsidRDefault="00755340" w:rsidP="00755340">
      <w:pPr>
        <w:spacing w:line="240" w:lineRule="auto"/>
      </w:pPr>
      <w:r w:rsidRPr="009F5F72">
        <w:t>Narancssárga jelölőfesték</w:t>
      </w:r>
      <w:r w:rsidR="006B6554" w:rsidRPr="009F5F72">
        <w:t>.</w:t>
      </w:r>
    </w:p>
    <w:p w14:paraId="5CA64DCD" w14:textId="77777777" w:rsidR="00755340" w:rsidRPr="003D686B" w:rsidRDefault="00755340" w:rsidP="00755340">
      <w:pPr>
        <w:spacing w:line="240" w:lineRule="auto"/>
        <w:rPr>
          <w:bCs/>
        </w:rPr>
      </w:pPr>
    </w:p>
    <w:p w14:paraId="730396B3" w14:textId="77777777" w:rsidR="007818EF" w:rsidRPr="009F5F72" w:rsidRDefault="007818EF" w:rsidP="007818EF">
      <w:pPr>
        <w:spacing w:line="240" w:lineRule="auto"/>
        <w:rPr>
          <w:u w:val="single"/>
        </w:rPr>
      </w:pPr>
      <w:r w:rsidRPr="009F5F72">
        <w:rPr>
          <w:u w:val="single"/>
        </w:rPr>
        <w:t>DUROGESIC 25 mikrogramm/óra transzdermális tapasz</w:t>
      </w:r>
    </w:p>
    <w:p w14:paraId="6BB93A13" w14:textId="77777777" w:rsidR="00755340" w:rsidRPr="009F5F72" w:rsidRDefault="00755340" w:rsidP="00755340">
      <w:pPr>
        <w:spacing w:line="240" w:lineRule="auto"/>
      </w:pPr>
      <w:r w:rsidRPr="009F5F72">
        <w:t>Piros jelölőfesték</w:t>
      </w:r>
      <w:r w:rsidR="006B6554" w:rsidRPr="009F5F72">
        <w:t>.</w:t>
      </w:r>
    </w:p>
    <w:p w14:paraId="3BF5DE38" w14:textId="77777777" w:rsidR="00755340" w:rsidRPr="003D686B" w:rsidRDefault="00755340" w:rsidP="00755340">
      <w:pPr>
        <w:spacing w:line="240" w:lineRule="auto"/>
        <w:rPr>
          <w:bCs/>
        </w:rPr>
      </w:pPr>
    </w:p>
    <w:p w14:paraId="625AD2CC" w14:textId="77777777" w:rsidR="007818EF" w:rsidRPr="009F5F72" w:rsidRDefault="007818EF" w:rsidP="007818EF">
      <w:pPr>
        <w:spacing w:line="240" w:lineRule="auto"/>
        <w:rPr>
          <w:u w:val="single"/>
        </w:rPr>
      </w:pPr>
      <w:r w:rsidRPr="009F5F72">
        <w:rPr>
          <w:u w:val="single"/>
        </w:rPr>
        <w:t>DUROGESIC 50 mikrogramm/óra transzdermális tapasz</w:t>
      </w:r>
    </w:p>
    <w:p w14:paraId="5155CEC0" w14:textId="77777777" w:rsidR="00755340" w:rsidRPr="009F5F72" w:rsidRDefault="00755340" w:rsidP="00755340">
      <w:pPr>
        <w:spacing w:line="240" w:lineRule="auto"/>
      </w:pPr>
      <w:r w:rsidRPr="009F5F72">
        <w:t>Zöld jelölőfesték</w:t>
      </w:r>
      <w:r w:rsidR="006B6554" w:rsidRPr="009F5F72">
        <w:t>.</w:t>
      </w:r>
    </w:p>
    <w:p w14:paraId="63E97224" w14:textId="77777777" w:rsidR="00755340" w:rsidRPr="003D686B" w:rsidRDefault="00755340" w:rsidP="00755340">
      <w:pPr>
        <w:spacing w:line="240" w:lineRule="auto"/>
        <w:rPr>
          <w:bCs/>
        </w:rPr>
      </w:pPr>
    </w:p>
    <w:p w14:paraId="0DCCB97B" w14:textId="77777777" w:rsidR="007818EF" w:rsidRPr="009F5F72" w:rsidRDefault="007818EF" w:rsidP="007818EF">
      <w:pPr>
        <w:spacing w:line="240" w:lineRule="auto"/>
        <w:rPr>
          <w:u w:val="single"/>
        </w:rPr>
      </w:pPr>
      <w:r w:rsidRPr="009F5F72">
        <w:rPr>
          <w:u w:val="single"/>
        </w:rPr>
        <w:t>DUROGESIC 75 mikrogramm/óra transzdermális tapasz</w:t>
      </w:r>
    </w:p>
    <w:p w14:paraId="01F45477" w14:textId="77777777" w:rsidR="00755340" w:rsidRPr="009F5F72" w:rsidRDefault="00755340" w:rsidP="00755340">
      <w:pPr>
        <w:spacing w:line="240" w:lineRule="auto"/>
      </w:pPr>
      <w:r w:rsidRPr="009F5F72">
        <w:t>Kék jelölőfesték</w:t>
      </w:r>
      <w:r w:rsidR="006B6554" w:rsidRPr="009F5F72">
        <w:t>.</w:t>
      </w:r>
    </w:p>
    <w:p w14:paraId="1559163A" w14:textId="77777777" w:rsidR="00755340" w:rsidRPr="003D686B" w:rsidRDefault="00755340" w:rsidP="00755340">
      <w:pPr>
        <w:spacing w:line="240" w:lineRule="auto"/>
        <w:rPr>
          <w:bCs/>
        </w:rPr>
      </w:pPr>
    </w:p>
    <w:p w14:paraId="15B65D02" w14:textId="77777777" w:rsidR="007818EF" w:rsidRPr="009F5F72" w:rsidRDefault="007818EF" w:rsidP="007818EF">
      <w:pPr>
        <w:spacing w:line="240" w:lineRule="auto"/>
        <w:rPr>
          <w:u w:val="single"/>
        </w:rPr>
      </w:pPr>
      <w:r w:rsidRPr="009F5F72">
        <w:rPr>
          <w:u w:val="single"/>
        </w:rPr>
        <w:t>DUROGESIC 100 mikrogramm/óra transzdermális tapasz</w:t>
      </w:r>
    </w:p>
    <w:p w14:paraId="101AC71C" w14:textId="77777777" w:rsidR="00755340" w:rsidRPr="00755340" w:rsidRDefault="00755340" w:rsidP="00755340">
      <w:pPr>
        <w:spacing w:line="240" w:lineRule="auto"/>
      </w:pPr>
      <w:r w:rsidRPr="009F5F72">
        <w:t>Szürke jelölőfesték.</w:t>
      </w:r>
    </w:p>
    <w:p w14:paraId="6E55252E" w14:textId="77777777" w:rsidR="00A25754" w:rsidRDefault="00A25754" w:rsidP="00A25754">
      <w:pPr>
        <w:spacing w:line="240" w:lineRule="auto"/>
      </w:pPr>
    </w:p>
    <w:p w14:paraId="538055C3" w14:textId="77777777" w:rsidR="00A25754" w:rsidRDefault="00A25754" w:rsidP="003D686B">
      <w:pPr>
        <w:keepNext/>
        <w:spacing w:line="240" w:lineRule="auto"/>
        <w:ind w:left="567" w:hanging="567"/>
      </w:pPr>
      <w:r>
        <w:rPr>
          <w:b/>
        </w:rPr>
        <w:t>6.2</w:t>
      </w:r>
      <w:r>
        <w:rPr>
          <w:b/>
        </w:rPr>
        <w:tab/>
        <w:t>Inkompatibilitások</w:t>
      </w:r>
    </w:p>
    <w:p w14:paraId="7D670403" w14:textId="77777777" w:rsidR="00A25754" w:rsidRDefault="00A25754" w:rsidP="003D686B">
      <w:pPr>
        <w:keepNext/>
        <w:spacing w:line="240" w:lineRule="auto"/>
      </w:pPr>
    </w:p>
    <w:p w14:paraId="7411CFB0" w14:textId="77777777" w:rsidR="003F418D" w:rsidRDefault="0066135C" w:rsidP="003D686B">
      <w:pPr>
        <w:keepNext/>
        <w:spacing w:line="240" w:lineRule="auto"/>
      </w:pPr>
      <w:r>
        <w:t xml:space="preserve">A DUROGESIC </w:t>
      </w:r>
      <w:r w:rsidR="006C472A">
        <w:t xml:space="preserve">tapadási </w:t>
      </w:r>
      <w:r w:rsidR="006C472A" w:rsidRPr="006C472A">
        <w:t>tulajdonság</w:t>
      </w:r>
      <w:r w:rsidR="006C472A">
        <w:t>ai</w:t>
      </w:r>
      <w:r w:rsidR="00AA2C53">
        <w:t>val való kölcsönhatások elkerülésének érdekében</w:t>
      </w:r>
      <w:r w:rsidR="00DA0CA4">
        <w:t xml:space="preserve"> </w:t>
      </w:r>
      <w:r w:rsidR="0052234F">
        <w:t>nem szabad kréme</w:t>
      </w:r>
      <w:r w:rsidR="003F418D">
        <w:t>ket, olajoka</w:t>
      </w:r>
      <w:r w:rsidR="0052234F">
        <w:t>t, testápoló</w:t>
      </w:r>
      <w:r w:rsidR="003F418D">
        <w:t>ka</w:t>
      </w:r>
      <w:r w:rsidR="0052234F">
        <w:t>t vagy hintőport alkalmazni a bőr</w:t>
      </w:r>
      <w:r w:rsidR="003F418D">
        <w:t>területen</w:t>
      </w:r>
      <w:r w:rsidR="0052234F">
        <w:t xml:space="preserve">, </w:t>
      </w:r>
      <w:r w:rsidR="003F418D">
        <w:t>ha DUROGESIC transzdermális tapaszt alkalmaznak.</w:t>
      </w:r>
    </w:p>
    <w:p w14:paraId="6A5982A7" w14:textId="77777777" w:rsidR="00A25754" w:rsidRDefault="00A25754" w:rsidP="00A25754">
      <w:pPr>
        <w:spacing w:line="240" w:lineRule="auto"/>
      </w:pPr>
    </w:p>
    <w:p w14:paraId="06F63A48" w14:textId="77777777" w:rsidR="00A25754" w:rsidRDefault="00A25754" w:rsidP="00A25754">
      <w:pPr>
        <w:spacing w:line="240" w:lineRule="auto"/>
        <w:ind w:left="567" w:hanging="567"/>
      </w:pPr>
      <w:r>
        <w:rPr>
          <w:b/>
        </w:rPr>
        <w:t>6.3</w:t>
      </w:r>
      <w:r>
        <w:rPr>
          <w:b/>
        </w:rPr>
        <w:tab/>
        <w:t>Felhasználhatósági időtartam</w:t>
      </w:r>
    </w:p>
    <w:p w14:paraId="2F268811" w14:textId="77777777" w:rsidR="00755340" w:rsidRDefault="00755340" w:rsidP="00A25754">
      <w:pPr>
        <w:spacing w:line="240" w:lineRule="auto"/>
      </w:pPr>
    </w:p>
    <w:p w14:paraId="743EB895" w14:textId="0FB3DC97" w:rsidR="00755340" w:rsidRPr="002D2F31" w:rsidRDefault="00BD0F9B" w:rsidP="00755340">
      <w:pPr>
        <w:keepNext/>
      </w:pPr>
      <w:r>
        <w:t>1</w:t>
      </w:r>
      <w:r w:rsidR="00755340" w:rsidRPr="002D2F31">
        <w:t> év</w:t>
      </w:r>
    </w:p>
    <w:p w14:paraId="253C261D" w14:textId="77777777" w:rsidR="00A25754" w:rsidRPr="003D686B" w:rsidRDefault="00A25754" w:rsidP="00A25754">
      <w:pPr>
        <w:spacing w:line="240" w:lineRule="auto"/>
        <w:rPr>
          <w:bCs/>
        </w:rPr>
      </w:pPr>
    </w:p>
    <w:p w14:paraId="0F8EF54A" w14:textId="77777777" w:rsidR="00A25754" w:rsidRDefault="00A25754" w:rsidP="00A25754">
      <w:pPr>
        <w:spacing w:line="240" w:lineRule="auto"/>
        <w:ind w:left="567" w:hanging="567"/>
        <w:rPr>
          <w:b/>
        </w:rPr>
      </w:pPr>
      <w:r>
        <w:rPr>
          <w:b/>
        </w:rPr>
        <w:t>6.4</w:t>
      </w:r>
      <w:r>
        <w:rPr>
          <w:b/>
        </w:rPr>
        <w:tab/>
        <w:t>Különleges tárolási előírások</w:t>
      </w:r>
    </w:p>
    <w:p w14:paraId="7A64C7AF" w14:textId="77777777" w:rsidR="00A25754" w:rsidRDefault="00A25754" w:rsidP="00A25754">
      <w:pPr>
        <w:spacing w:line="240" w:lineRule="auto"/>
      </w:pPr>
    </w:p>
    <w:p w14:paraId="074D806F" w14:textId="77777777" w:rsidR="007818EF" w:rsidRDefault="007818EF" w:rsidP="00A25754">
      <w:pPr>
        <w:spacing w:line="240" w:lineRule="auto"/>
      </w:pPr>
      <w:r>
        <w:t xml:space="preserve">A fénytől való védelem érdekében az eredeti </w:t>
      </w:r>
      <w:r w:rsidR="0066135C">
        <w:t>védő</w:t>
      </w:r>
      <w:r>
        <w:t>ta</w:t>
      </w:r>
      <w:r w:rsidR="003F418D">
        <w:t>s</w:t>
      </w:r>
      <w:r>
        <w:t>akban tárolandó</w:t>
      </w:r>
      <w:r w:rsidR="0066135C">
        <w:t>.</w:t>
      </w:r>
    </w:p>
    <w:p w14:paraId="4344DF8A" w14:textId="77777777" w:rsidR="00755340" w:rsidRPr="002D2F31" w:rsidRDefault="00755340" w:rsidP="00755340">
      <w:r w:rsidRPr="002D2F31">
        <w:rPr>
          <w:noProof/>
        </w:rPr>
        <w:t>Ez a gyógyszer különleges tárolás</w:t>
      </w:r>
      <w:r w:rsidR="007818EF">
        <w:rPr>
          <w:noProof/>
        </w:rPr>
        <w:t>i hőmérséklete</w:t>
      </w:r>
      <w:r w:rsidRPr="002D2F31">
        <w:rPr>
          <w:noProof/>
        </w:rPr>
        <w:t>t</w:t>
      </w:r>
      <w:r w:rsidR="00937872" w:rsidRPr="00937872">
        <w:rPr>
          <w:noProof/>
        </w:rPr>
        <w:t xml:space="preserve"> </w:t>
      </w:r>
      <w:r w:rsidR="00937872" w:rsidRPr="002D2F31">
        <w:rPr>
          <w:noProof/>
        </w:rPr>
        <w:t>nem igényel</w:t>
      </w:r>
      <w:r w:rsidRPr="002D2F31">
        <w:rPr>
          <w:noProof/>
        </w:rPr>
        <w:t>.</w:t>
      </w:r>
    </w:p>
    <w:p w14:paraId="44409A55" w14:textId="77777777" w:rsidR="00A25754" w:rsidRDefault="00A25754" w:rsidP="00A25754">
      <w:pPr>
        <w:spacing w:line="240" w:lineRule="auto"/>
      </w:pPr>
    </w:p>
    <w:p w14:paraId="7D6D899D" w14:textId="77777777" w:rsidR="00A25754" w:rsidRDefault="00A25754" w:rsidP="00A25754">
      <w:pPr>
        <w:keepNext/>
        <w:tabs>
          <w:tab w:val="clear" w:pos="567"/>
        </w:tabs>
        <w:spacing w:line="240" w:lineRule="auto"/>
        <w:rPr>
          <w:b/>
        </w:rPr>
      </w:pPr>
      <w:r>
        <w:rPr>
          <w:b/>
        </w:rPr>
        <w:t>6.5</w:t>
      </w:r>
      <w:r>
        <w:rPr>
          <w:b/>
        </w:rPr>
        <w:tab/>
        <w:t>Csomagolás típusa és kiszerelése</w:t>
      </w:r>
    </w:p>
    <w:p w14:paraId="6E454AF6" w14:textId="77777777" w:rsidR="00A25754" w:rsidRDefault="00A25754" w:rsidP="00A25754">
      <w:pPr>
        <w:keepNext/>
        <w:spacing w:line="240" w:lineRule="auto"/>
      </w:pPr>
    </w:p>
    <w:p w14:paraId="7359B42D" w14:textId="77777777" w:rsidR="00580993" w:rsidRPr="00CA60E2" w:rsidRDefault="00297BAB" w:rsidP="00755340">
      <w:r>
        <w:t>Minden egyes ta</w:t>
      </w:r>
      <w:r w:rsidR="00196F9A">
        <w:t>pasz</w:t>
      </w:r>
      <w:r w:rsidR="0066135C">
        <w:t xml:space="preserve"> hővel lezárt védőtasakba van csomagolva.</w:t>
      </w:r>
      <w:r w:rsidR="00F20160">
        <w:t xml:space="preserve"> A védőtasak anyaga laminált polietilén</w:t>
      </w:r>
      <w:r w:rsidR="00F20160">
        <w:noBreakHyphen/>
        <w:t>tereftalát</w:t>
      </w:r>
      <w:r w:rsidR="00841C58">
        <w:t xml:space="preserve"> (PET), alacsony denzitású polietilén (LDPE), aluminium fólia, tapadást biztosító anyag és akril</w:t>
      </w:r>
      <w:r>
        <w:t>-</w:t>
      </w:r>
      <w:r w:rsidR="00841C58">
        <w:t>ni</w:t>
      </w:r>
      <w:r w:rsidR="00841C58" w:rsidRPr="00081243">
        <w:t>tril film</w:t>
      </w:r>
      <w:r w:rsidR="00580993" w:rsidRPr="00A54A4A">
        <w:t xml:space="preserve"> vagy papír</w:t>
      </w:r>
      <w:r w:rsidR="00580993" w:rsidRPr="00077A6E">
        <w:rPr>
          <w:lang w:eastAsia="nl-BE"/>
        </w:rPr>
        <w:t>,</w:t>
      </w:r>
      <w:r w:rsidR="00580993" w:rsidRPr="009631F0">
        <w:t xml:space="preserve"> PE</w:t>
      </w:r>
      <w:r w:rsidR="007742E5" w:rsidRPr="009631F0">
        <w:t>T</w:t>
      </w:r>
      <w:r w:rsidR="00580993" w:rsidRPr="00077A6E">
        <w:rPr>
          <w:lang w:eastAsia="nl-BE"/>
        </w:rPr>
        <w:t xml:space="preserve">, </w:t>
      </w:r>
      <w:r w:rsidR="00580993" w:rsidRPr="00CA60E2">
        <w:t>tapadást biztosító anyag, aluminium fólia</w:t>
      </w:r>
      <w:r w:rsidR="00580993" w:rsidRPr="00077A6E">
        <w:rPr>
          <w:lang w:eastAsia="nl-BE"/>
        </w:rPr>
        <w:t xml:space="preserve"> és gyűrűs olefin kopolimer</w:t>
      </w:r>
      <w:r w:rsidR="00580993" w:rsidRPr="00CA60E2">
        <w:t>.</w:t>
      </w:r>
    </w:p>
    <w:p w14:paraId="53622971" w14:textId="77777777" w:rsidR="00755340" w:rsidRPr="002D2F31" w:rsidRDefault="00841C58" w:rsidP="00755340">
      <w:r>
        <w:t xml:space="preserve">A DUROGESIC </w:t>
      </w:r>
      <w:r w:rsidR="004A3395">
        <w:t xml:space="preserve">3, 4, </w:t>
      </w:r>
      <w:r>
        <w:t>5</w:t>
      </w:r>
      <w:r w:rsidR="004A3395">
        <w:t xml:space="preserve">, 8, 10, 16, 20 </w:t>
      </w:r>
      <w:r w:rsidR="00FF66E9">
        <w:t>vagy</w:t>
      </w:r>
      <w:r w:rsidR="004A3395">
        <w:t xml:space="preserve"> 30</w:t>
      </w:r>
      <w:r>
        <w:t> darab, egyenként csomagolt tapaszt tartalmazó dobozban kapható.</w:t>
      </w:r>
    </w:p>
    <w:p w14:paraId="77DCC112" w14:textId="77777777" w:rsidR="00A25754" w:rsidRDefault="004A3395" w:rsidP="00A25754">
      <w:pPr>
        <w:spacing w:line="240" w:lineRule="auto"/>
      </w:pPr>
      <w:r w:rsidRPr="004A3395">
        <w:t>Nem feltétlenül mindegyik kiszerelés kerül kereskedelmi forgalomba.</w:t>
      </w:r>
    </w:p>
    <w:p w14:paraId="6AE7B464" w14:textId="77777777" w:rsidR="004A3395" w:rsidRDefault="004A3395" w:rsidP="00A25754">
      <w:pPr>
        <w:spacing w:line="240" w:lineRule="auto"/>
      </w:pPr>
    </w:p>
    <w:p w14:paraId="56004D0C" w14:textId="77777777" w:rsidR="00A25754" w:rsidRDefault="00A25754" w:rsidP="00A25754">
      <w:pPr>
        <w:spacing w:line="240" w:lineRule="auto"/>
        <w:ind w:left="567" w:hanging="567"/>
        <w:outlineLvl w:val="0"/>
      </w:pPr>
      <w:r>
        <w:rPr>
          <w:b/>
        </w:rPr>
        <w:t>6.6</w:t>
      </w:r>
      <w:r>
        <w:rPr>
          <w:b/>
        </w:rPr>
        <w:tab/>
        <w:t>A megsemmisítésre vonatkozó különleges óvintézkedések és egyéb, a készítmény kezelésével kapcsolatos információk</w:t>
      </w:r>
    </w:p>
    <w:p w14:paraId="6498B4C7" w14:textId="77777777" w:rsidR="00A25754" w:rsidRPr="00CB2A64" w:rsidRDefault="00A25754" w:rsidP="00A25754">
      <w:pPr>
        <w:spacing w:line="240" w:lineRule="auto"/>
        <w:rPr>
          <w:szCs w:val="22"/>
        </w:rPr>
      </w:pPr>
    </w:p>
    <w:p w14:paraId="515C13F4" w14:textId="77777777" w:rsidR="00A25754" w:rsidRPr="00CB2A64" w:rsidRDefault="00A25754" w:rsidP="00A25754">
      <w:pPr>
        <w:spacing w:line="240" w:lineRule="auto"/>
        <w:rPr>
          <w:szCs w:val="22"/>
        </w:rPr>
      </w:pPr>
      <w:r>
        <w:t>A megsemmisítésre vonatkozó utasítások:</w:t>
      </w:r>
    </w:p>
    <w:p w14:paraId="5476536D" w14:textId="77777777" w:rsidR="00A25754" w:rsidRDefault="00A25754" w:rsidP="00A25754">
      <w:pPr>
        <w:spacing w:line="240" w:lineRule="auto"/>
      </w:pPr>
      <w:r>
        <w:t>A használt tapaszt a ragadó felülettel befelé össze kell hajtani, hogy önmagával összetapadjon, és biztonságos módon kell megsemmisíteni. Bármilyen fel nem használt gyógyszer, illetve hulladékanyag megsemmisítését a gyógyszerekre vonatkozó előírások szerint kell végrehajtani.</w:t>
      </w:r>
    </w:p>
    <w:p w14:paraId="5A6B69FE" w14:textId="77777777" w:rsidR="00A25754" w:rsidRDefault="00A25754" w:rsidP="00A25754">
      <w:pPr>
        <w:spacing w:line="240" w:lineRule="auto"/>
      </w:pPr>
      <w:bookmarkStart w:id="4" w:name="_GoBack"/>
      <w:bookmarkEnd w:id="4"/>
    </w:p>
    <w:p w14:paraId="65CE169A" w14:textId="77777777" w:rsidR="007206EA" w:rsidRDefault="007206EA" w:rsidP="007206EA">
      <w:pPr>
        <w:widowControl w:val="0"/>
        <w:spacing w:line="240" w:lineRule="auto"/>
        <w:rPr>
          <w:szCs w:val="22"/>
        </w:rPr>
      </w:pPr>
      <w:r>
        <w:rPr>
          <w:b/>
          <w:szCs w:val="22"/>
        </w:rPr>
        <w:t>Megjegyzés:</w:t>
      </w:r>
      <w:r>
        <w:rPr>
          <w:szCs w:val="22"/>
        </w:rPr>
        <w:t xml:space="preserve"> </w:t>
      </w:r>
      <w:r>
        <w:rPr>
          <w:rFonts w:eastAsia="Times New Roman"/>
          <w:szCs w:val="22"/>
          <w:lang w:eastAsia="en-US"/>
        </w:rPr>
        <w:object w:dxaOrig="225" w:dyaOrig="195" w14:anchorId="5BD13F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9.75pt" o:ole="" fillcolor="window">
            <v:imagedata r:id="rId12" o:title=""/>
          </v:shape>
          <o:OLEObject Type="Embed" ProgID="PBrush" ShapeID="_x0000_i1025" DrawAspect="Content" ObjectID="_1814598285" r:id="rId13"/>
        </w:object>
      </w:r>
      <w:r>
        <w:rPr>
          <w:rFonts w:eastAsia="Times New Roman"/>
          <w:szCs w:val="22"/>
          <w:lang w:eastAsia="en-US"/>
        </w:rPr>
        <w:object w:dxaOrig="225" w:dyaOrig="195" w14:anchorId="058CBFA9">
          <v:shape id="_x0000_i1026" type="#_x0000_t75" style="width:11.25pt;height:9.75pt" o:ole="" fillcolor="window">
            <v:imagedata r:id="rId12" o:title=""/>
          </v:shape>
          <o:OLEObject Type="Embed" ProgID="PBrush" ShapeID="_x0000_i1026" DrawAspect="Content" ObjectID="_1814598286" r:id="rId14"/>
        </w:object>
      </w:r>
      <w:r>
        <w:rPr>
          <w:szCs w:val="22"/>
        </w:rPr>
        <w:t xml:space="preserve"> (két üres kereszt) jelzés: a gyógyszerkészítmény kábítószernek minősül.</w:t>
      </w:r>
    </w:p>
    <w:p w14:paraId="2E461047" w14:textId="77777777" w:rsidR="007206EA" w:rsidRDefault="007206EA" w:rsidP="007206EA">
      <w:pPr>
        <w:widowControl w:val="0"/>
        <w:spacing w:line="240" w:lineRule="auto"/>
        <w:rPr>
          <w:b/>
          <w:szCs w:val="22"/>
        </w:rPr>
      </w:pPr>
      <w:r>
        <w:rPr>
          <w:b/>
          <w:szCs w:val="22"/>
        </w:rPr>
        <w:t>Osztályozás: II. csoport</w:t>
      </w:r>
    </w:p>
    <w:p w14:paraId="50EB30B5" w14:textId="77777777" w:rsidR="007206EA" w:rsidRDefault="007206EA" w:rsidP="007206EA">
      <w:pPr>
        <w:widowControl w:val="0"/>
        <w:spacing w:line="240" w:lineRule="auto"/>
        <w:rPr>
          <w:szCs w:val="22"/>
        </w:rPr>
      </w:pPr>
      <w:r>
        <w:rPr>
          <w:szCs w:val="22"/>
        </w:rPr>
        <w:t>Kizárólag orvosi rendelvényhez kötött gyógyszer (V).</w:t>
      </w:r>
    </w:p>
    <w:p w14:paraId="69B88371" w14:textId="77777777" w:rsidR="007206EA" w:rsidRDefault="007206EA" w:rsidP="007206EA">
      <w:pPr>
        <w:widowControl w:val="0"/>
        <w:spacing w:line="240" w:lineRule="auto"/>
        <w:rPr>
          <w:szCs w:val="22"/>
        </w:rPr>
      </w:pPr>
      <w:r>
        <w:rPr>
          <w:szCs w:val="22"/>
        </w:rPr>
        <w:t>Különleges rendelvényhez kötött, a külön jogszabály szerint kábítószerként és pszichotróp anyagként minősített gyógyszer (KP).</w:t>
      </w:r>
    </w:p>
    <w:p w14:paraId="66977145" w14:textId="77777777" w:rsidR="007206EA" w:rsidRDefault="007206EA" w:rsidP="00A25754">
      <w:pPr>
        <w:spacing w:line="240" w:lineRule="auto"/>
      </w:pPr>
    </w:p>
    <w:p w14:paraId="5AE1617F" w14:textId="77777777" w:rsidR="00A25754" w:rsidRDefault="00A25754" w:rsidP="00A25754">
      <w:pPr>
        <w:spacing w:line="240" w:lineRule="auto"/>
      </w:pPr>
    </w:p>
    <w:p w14:paraId="13662187" w14:textId="77777777" w:rsidR="00A25754" w:rsidRDefault="00A25754" w:rsidP="00A25754">
      <w:pPr>
        <w:keepNext/>
        <w:spacing w:line="240" w:lineRule="auto"/>
        <w:ind w:left="562" w:hanging="562"/>
      </w:pPr>
      <w:r>
        <w:rPr>
          <w:b/>
        </w:rPr>
        <w:t>7.</w:t>
      </w:r>
      <w:r>
        <w:rPr>
          <w:b/>
        </w:rPr>
        <w:tab/>
        <w:t>A FORGALOMBA HOZATALI ENGEDÉLY JOGOSULTJA</w:t>
      </w:r>
    </w:p>
    <w:p w14:paraId="5020EA18" w14:textId="77777777" w:rsidR="00A25754" w:rsidRDefault="00A25754" w:rsidP="00A25754">
      <w:pPr>
        <w:spacing w:line="240" w:lineRule="auto"/>
      </w:pPr>
    </w:p>
    <w:p w14:paraId="19C18173" w14:textId="77777777" w:rsidR="00DB0D40" w:rsidRPr="002D2F31" w:rsidRDefault="00DB0D40" w:rsidP="00DB0D40">
      <w:pPr>
        <w:keepNext/>
      </w:pPr>
      <w:r w:rsidRPr="002D2F31">
        <w:t>Janssen-Cilag Kft.</w:t>
      </w:r>
    </w:p>
    <w:p w14:paraId="2F8FCD61" w14:textId="77777777" w:rsidR="00DB0D40" w:rsidRPr="002D2F31" w:rsidRDefault="00DB0D40" w:rsidP="00DB0D40">
      <w:r w:rsidRPr="002D2F31">
        <w:t>1123 Budapest, Nagyenyed utca 8</w:t>
      </w:r>
      <w:r w:rsidRPr="002D2F31">
        <w:noBreakHyphen/>
        <w:t>14</w:t>
      </w:r>
    </w:p>
    <w:p w14:paraId="3AC6C959" w14:textId="77777777" w:rsidR="00DB0D40" w:rsidRPr="002D2F31" w:rsidRDefault="00DB0D40" w:rsidP="00DB0D40">
      <w:r w:rsidRPr="002D2F31">
        <w:t>Magyarország</w:t>
      </w:r>
    </w:p>
    <w:p w14:paraId="77271D44" w14:textId="77777777" w:rsidR="00A25754" w:rsidRDefault="00A25754" w:rsidP="00A25754">
      <w:pPr>
        <w:spacing w:line="240" w:lineRule="auto"/>
      </w:pPr>
    </w:p>
    <w:p w14:paraId="329AB3EA" w14:textId="77777777" w:rsidR="00A25754" w:rsidRDefault="00A25754" w:rsidP="00A25754">
      <w:pPr>
        <w:spacing w:line="240" w:lineRule="auto"/>
      </w:pPr>
    </w:p>
    <w:p w14:paraId="73F4D55F" w14:textId="77777777" w:rsidR="00A25754" w:rsidRDefault="00A25754" w:rsidP="00A25754">
      <w:pPr>
        <w:spacing w:line="240" w:lineRule="auto"/>
        <w:ind w:left="567" w:hanging="567"/>
        <w:rPr>
          <w:b/>
        </w:rPr>
      </w:pPr>
      <w:r>
        <w:rPr>
          <w:b/>
        </w:rPr>
        <w:t>8.</w:t>
      </w:r>
      <w:r>
        <w:rPr>
          <w:b/>
        </w:rPr>
        <w:tab/>
        <w:t xml:space="preserve">A FORGALOMBA HOZATALI ENGEDÉLY SZÁMA(I) </w:t>
      </w:r>
    </w:p>
    <w:p w14:paraId="12AA94A7" w14:textId="77777777" w:rsidR="00A25754" w:rsidRDefault="00A25754" w:rsidP="00A25754">
      <w:pPr>
        <w:spacing w:line="240" w:lineRule="auto"/>
        <w:rPr>
          <w:i/>
        </w:rPr>
      </w:pPr>
    </w:p>
    <w:p w14:paraId="351576F4" w14:textId="77777777" w:rsidR="00CA60E2" w:rsidRPr="00787094" w:rsidRDefault="00CA60E2" w:rsidP="00CA60E2">
      <w:r w:rsidRPr="00223617">
        <w:rPr>
          <w:u w:val="single"/>
        </w:rPr>
        <w:t>DUROGESIC 12 mikrogramm/óra transzdermális tapasz</w:t>
      </w:r>
    </w:p>
    <w:p w14:paraId="13812F88" w14:textId="183965F1" w:rsidR="00CA60E2" w:rsidRPr="00223617" w:rsidRDefault="00CA60E2" w:rsidP="00CA60E2">
      <w:r w:rsidRPr="00787094">
        <w:t>OGYI-T-4530/05</w:t>
      </w:r>
      <w:r w:rsidRPr="00787094">
        <w:tab/>
      </w:r>
      <w:r w:rsidR="00311E9F" w:rsidRPr="00223617">
        <w:rPr>
          <w:bCs/>
          <w:spacing w:val="-3"/>
          <w:szCs w:val="24"/>
        </w:rPr>
        <w:t xml:space="preserve">papír/PET/Al és </w:t>
      </w:r>
      <w:r w:rsidR="00311E9F" w:rsidRPr="00223617">
        <w:rPr>
          <w:spacing w:val="-3"/>
          <w:szCs w:val="24"/>
        </w:rPr>
        <w:t>ciklikus olefin kopolimer védőtasakban</w:t>
      </w:r>
      <w:r w:rsidR="00311E9F">
        <w:rPr>
          <w:spacing w:val="-3"/>
          <w:szCs w:val="24"/>
        </w:rPr>
        <w:t xml:space="preserve"> (5×)</w:t>
      </w:r>
    </w:p>
    <w:p w14:paraId="220686DC" w14:textId="77777777" w:rsidR="00CA60E2" w:rsidRPr="00223617" w:rsidRDefault="00CA60E2" w:rsidP="00CA60E2">
      <w:pPr>
        <w:spacing w:line="240" w:lineRule="auto"/>
        <w:rPr>
          <w:u w:val="single"/>
        </w:rPr>
      </w:pPr>
    </w:p>
    <w:p w14:paraId="6F706A7B" w14:textId="77777777" w:rsidR="00CA60E2" w:rsidRPr="00787094" w:rsidRDefault="00CA60E2" w:rsidP="00CA60E2">
      <w:pPr>
        <w:spacing w:line="240" w:lineRule="auto"/>
        <w:rPr>
          <w:u w:val="single"/>
        </w:rPr>
      </w:pPr>
      <w:r w:rsidRPr="00787094">
        <w:rPr>
          <w:u w:val="single"/>
        </w:rPr>
        <w:t>DUROGESIC 25 mikrogramm/óra transzdermális tapasz</w:t>
      </w:r>
    </w:p>
    <w:p w14:paraId="46B1D23D" w14:textId="30566CDE" w:rsidR="00CA60E2" w:rsidRPr="00223617" w:rsidRDefault="00DB0D40" w:rsidP="00DB0D40">
      <w:r w:rsidRPr="00787094">
        <w:t>OGYI-T-4530/01</w:t>
      </w:r>
      <w:r w:rsidRPr="00787094">
        <w:tab/>
      </w:r>
      <w:r w:rsidR="00311E9F" w:rsidRPr="00223617">
        <w:rPr>
          <w:bCs/>
          <w:spacing w:val="-3"/>
          <w:szCs w:val="24"/>
        </w:rPr>
        <w:t xml:space="preserve">papír/PET/Al és </w:t>
      </w:r>
      <w:r w:rsidR="00311E9F" w:rsidRPr="00223617">
        <w:rPr>
          <w:spacing w:val="-3"/>
          <w:szCs w:val="24"/>
        </w:rPr>
        <w:t>ciklikus olefin kopolimer védőtasakban</w:t>
      </w:r>
      <w:r w:rsidR="00311E9F">
        <w:rPr>
          <w:spacing w:val="-3"/>
          <w:szCs w:val="24"/>
        </w:rPr>
        <w:t xml:space="preserve"> (5×)</w:t>
      </w:r>
    </w:p>
    <w:p w14:paraId="3045D891" w14:textId="77777777" w:rsidR="00DB0D40" w:rsidRPr="00223617" w:rsidRDefault="00DB0D40" w:rsidP="00CA60E2"/>
    <w:p w14:paraId="0291F8E3" w14:textId="77777777" w:rsidR="00CA60E2" w:rsidRPr="00223617" w:rsidRDefault="00CA60E2" w:rsidP="00CA60E2">
      <w:pPr>
        <w:spacing w:line="240" w:lineRule="auto"/>
        <w:rPr>
          <w:u w:val="single"/>
        </w:rPr>
      </w:pPr>
      <w:r w:rsidRPr="00223617">
        <w:rPr>
          <w:u w:val="single"/>
        </w:rPr>
        <w:t>DUROGESIC 50 mikrogramm/óra transzdermális tapasz</w:t>
      </w:r>
    </w:p>
    <w:p w14:paraId="3505D782" w14:textId="09660456" w:rsidR="00CA60E2" w:rsidRPr="00223617" w:rsidRDefault="00DB0D40" w:rsidP="00CA60E2">
      <w:r w:rsidRPr="00223617">
        <w:t>OGYI-T-4530/02</w:t>
      </w:r>
      <w:r w:rsidRPr="00223617">
        <w:tab/>
      </w:r>
      <w:r w:rsidR="00311E9F" w:rsidRPr="00223617">
        <w:rPr>
          <w:bCs/>
          <w:spacing w:val="-3"/>
          <w:szCs w:val="24"/>
        </w:rPr>
        <w:t xml:space="preserve">papír/PET/Al és </w:t>
      </w:r>
      <w:r w:rsidR="00311E9F" w:rsidRPr="00223617">
        <w:rPr>
          <w:spacing w:val="-3"/>
          <w:szCs w:val="24"/>
        </w:rPr>
        <w:t>ciklikus olefin kopolimer védőtasakban</w:t>
      </w:r>
      <w:r w:rsidR="00311E9F">
        <w:rPr>
          <w:spacing w:val="-3"/>
          <w:szCs w:val="24"/>
        </w:rPr>
        <w:t xml:space="preserve"> (5×)</w:t>
      </w:r>
    </w:p>
    <w:p w14:paraId="1D809C0F" w14:textId="77777777" w:rsidR="00CA60E2" w:rsidRPr="00223617" w:rsidRDefault="00CA60E2" w:rsidP="00CA60E2">
      <w:pPr>
        <w:spacing w:line="240" w:lineRule="auto"/>
        <w:rPr>
          <w:u w:val="single"/>
        </w:rPr>
      </w:pPr>
    </w:p>
    <w:p w14:paraId="69EFB015" w14:textId="77777777" w:rsidR="00CA60E2" w:rsidRPr="00223617" w:rsidRDefault="00CA60E2" w:rsidP="00223617">
      <w:pPr>
        <w:spacing w:line="240" w:lineRule="auto"/>
      </w:pPr>
      <w:r w:rsidRPr="00787094">
        <w:rPr>
          <w:u w:val="single"/>
        </w:rPr>
        <w:t>DUROGESIC 75 mikrogramm/óra transzdermális tapasz</w:t>
      </w:r>
    </w:p>
    <w:p w14:paraId="2B42FE28" w14:textId="08AC9208" w:rsidR="00CA60E2" w:rsidRPr="00223617" w:rsidRDefault="00DB0D40" w:rsidP="00CA60E2">
      <w:r w:rsidRPr="00223617">
        <w:t>OGYI-T-4530/03</w:t>
      </w:r>
      <w:r w:rsidRPr="00223617">
        <w:tab/>
      </w:r>
      <w:r w:rsidR="00311E9F" w:rsidRPr="00223617">
        <w:rPr>
          <w:bCs/>
          <w:spacing w:val="-3"/>
          <w:szCs w:val="24"/>
        </w:rPr>
        <w:t xml:space="preserve">papír/PET/Al és </w:t>
      </w:r>
      <w:r w:rsidR="00311E9F" w:rsidRPr="00223617">
        <w:rPr>
          <w:spacing w:val="-3"/>
          <w:szCs w:val="24"/>
        </w:rPr>
        <w:t>ciklikus olefin kopolimer védőtasakban</w:t>
      </w:r>
      <w:r w:rsidR="00311E9F">
        <w:rPr>
          <w:spacing w:val="-3"/>
          <w:szCs w:val="24"/>
        </w:rPr>
        <w:t xml:space="preserve"> (5×)</w:t>
      </w:r>
    </w:p>
    <w:p w14:paraId="289F3CAA" w14:textId="77777777" w:rsidR="00DB0D40" w:rsidRPr="00223617" w:rsidRDefault="00DB0D40" w:rsidP="00CA60E2"/>
    <w:p w14:paraId="7FE710AF" w14:textId="77777777" w:rsidR="00CA60E2" w:rsidRPr="00223617" w:rsidRDefault="00CA60E2" w:rsidP="00CA60E2">
      <w:pPr>
        <w:spacing w:line="240" w:lineRule="auto"/>
        <w:rPr>
          <w:u w:val="single"/>
        </w:rPr>
      </w:pPr>
      <w:r w:rsidRPr="00223617">
        <w:rPr>
          <w:u w:val="single"/>
        </w:rPr>
        <w:t>DUROGESIC 100 mikrogramm/óra transzdermális tapasz</w:t>
      </w:r>
    </w:p>
    <w:p w14:paraId="3C0B00D6" w14:textId="135E1598" w:rsidR="00CA60E2" w:rsidRPr="00223617" w:rsidRDefault="00DB0D40" w:rsidP="00CA60E2">
      <w:pPr>
        <w:rPr>
          <w:spacing w:val="-3"/>
          <w:szCs w:val="24"/>
        </w:rPr>
      </w:pPr>
      <w:r w:rsidRPr="00223617">
        <w:t>OGYI-T-4530/04</w:t>
      </w:r>
      <w:r w:rsidRPr="00223617">
        <w:tab/>
      </w:r>
      <w:r w:rsidR="00311E9F" w:rsidRPr="00223617">
        <w:rPr>
          <w:bCs/>
          <w:spacing w:val="-3"/>
          <w:szCs w:val="24"/>
        </w:rPr>
        <w:t xml:space="preserve">papír/PET/Al és </w:t>
      </w:r>
      <w:r w:rsidR="00311E9F" w:rsidRPr="00223617">
        <w:rPr>
          <w:spacing w:val="-3"/>
          <w:szCs w:val="24"/>
        </w:rPr>
        <w:t>ciklikus olefin kopolimer védőtasakban</w:t>
      </w:r>
      <w:r w:rsidR="00311E9F">
        <w:rPr>
          <w:spacing w:val="-3"/>
          <w:szCs w:val="24"/>
        </w:rPr>
        <w:t xml:space="preserve"> (5×)</w:t>
      </w:r>
    </w:p>
    <w:p w14:paraId="0D2BE91D" w14:textId="77777777" w:rsidR="00CA60E2" w:rsidRPr="003D686B" w:rsidRDefault="00CA60E2" w:rsidP="00CA60E2">
      <w:pPr>
        <w:rPr>
          <w:spacing w:val="-3"/>
          <w:szCs w:val="24"/>
        </w:rPr>
      </w:pPr>
    </w:p>
    <w:p w14:paraId="689AA911" w14:textId="77777777" w:rsidR="00A25754" w:rsidRDefault="00A25754" w:rsidP="00CA60E2"/>
    <w:p w14:paraId="1054DF79" w14:textId="77777777" w:rsidR="00A25754" w:rsidRPr="00A26D67" w:rsidRDefault="00A25754" w:rsidP="00A25754">
      <w:pPr>
        <w:spacing w:line="240" w:lineRule="auto"/>
        <w:ind w:left="567" w:hanging="567"/>
      </w:pPr>
      <w:r>
        <w:rPr>
          <w:b/>
        </w:rPr>
        <w:t>9.</w:t>
      </w:r>
      <w:r>
        <w:rPr>
          <w:b/>
        </w:rPr>
        <w:tab/>
        <w:t>A FORGALOMBA HOZATALI ENGEDÉLY ELSŐ KIADÁSÁNAK/ MEGÚJÍTÁSÁNAK DÁTUMA</w:t>
      </w:r>
    </w:p>
    <w:p w14:paraId="230DE6D2" w14:textId="77777777" w:rsidR="00A25754" w:rsidRDefault="00A25754" w:rsidP="00A25754">
      <w:pPr>
        <w:spacing w:line="240" w:lineRule="auto"/>
        <w:rPr>
          <w:iCs/>
        </w:rPr>
      </w:pPr>
    </w:p>
    <w:p w14:paraId="675CD32A" w14:textId="77777777" w:rsidR="00DB0D40" w:rsidRPr="000A3E86" w:rsidRDefault="00DB0D40" w:rsidP="00DB0D40">
      <w:pPr>
        <w:rPr>
          <w:u w:val="single"/>
        </w:rPr>
      </w:pPr>
      <w:r w:rsidRPr="000A3E86">
        <w:rPr>
          <w:u w:val="single"/>
        </w:rPr>
        <w:t>DUROGESIC 25 </w:t>
      </w:r>
      <w:r w:rsidRPr="000A3E86">
        <w:rPr>
          <w:bCs/>
          <w:u w:val="single"/>
        </w:rPr>
        <w:t>mikrogramm</w:t>
      </w:r>
      <w:r w:rsidRPr="000A3E86">
        <w:rPr>
          <w:u w:val="single"/>
        </w:rPr>
        <w:t>/óra transzdermális tapasz</w:t>
      </w:r>
    </w:p>
    <w:p w14:paraId="6F1DDA08" w14:textId="77777777" w:rsidR="00DB0D40" w:rsidRPr="000A3E86" w:rsidRDefault="00DB0D40" w:rsidP="00DB0D40">
      <w:pPr>
        <w:rPr>
          <w:u w:val="single"/>
        </w:rPr>
      </w:pPr>
      <w:r w:rsidRPr="000A3E86">
        <w:rPr>
          <w:u w:val="single"/>
        </w:rPr>
        <w:t>DUROGESIC 50 </w:t>
      </w:r>
      <w:r w:rsidRPr="000A3E86">
        <w:rPr>
          <w:bCs/>
          <w:u w:val="single"/>
        </w:rPr>
        <w:t>mikrogramm</w:t>
      </w:r>
      <w:r w:rsidRPr="000A3E86">
        <w:rPr>
          <w:u w:val="single"/>
        </w:rPr>
        <w:t>/óra transzdermális tapasz</w:t>
      </w:r>
    </w:p>
    <w:p w14:paraId="674254B2" w14:textId="77777777" w:rsidR="00DB0D40" w:rsidRPr="000A3E86" w:rsidRDefault="00DB0D40" w:rsidP="00DB0D40">
      <w:pPr>
        <w:rPr>
          <w:u w:val="single"/>
        </w:rPr>
      </w:pPr>
      <w:r w:rsidRPr="000A3E86">
        <w:rPr>
          <w:u w:val="single"/>
        </w:rPr>
        <w:t>DUROGESIC 75 </w:t>
      </w:r>
      <w:r w:rsidRPr="000A3E86">
        <w:rPr>
          <w:bCs/>
          <w:u w:val="single"/>
        </w:rPr>
        <w:t>mikrogramm</w:t>
      </w:r>
      <w:r w:rsidRPr="000A3E86">
        <w:rPr>
          <w:u w:val="single"/>
        </w:rPr>
        <w:t>/óra transzdermális tapasz</w:t>
      </w:r>
    </w:p>
    <w:p w14:paraId="76B8312A" w14:textId="77777777" w:rsidR="00DB0D40" w:rsidRPr="000A3E86" w:rsidRDefault="00DB0D40" w:rsidP="00DB0D40">
      <w:pPr>
        <w:rPr>
          <w:u w:val="single"/>
        </w:rPr>
      </w:pPr>
      <w:r w:rsidRPr="000A3E86">
        <w:rPr>
          <w:u w:val="single"/>
        </w:rPr>
        <w:t>DUROGESIC 100 </w:t>
      </w:r>
      <w:r w:rsidRPr="000A3E86">
        <w:rPr>
          <w:bCs/>
          <w:u w:val="single"/>
        </w:rPr>
        <w:t>mikrogramm</w:t>
      </w:r>
      <w:r w:rsidRPr="000A3E86">
        <w:rPr>
          <w:u w:val="single"/>
        </w:rPr>
        <w:t>/óra transzdermális tapasz</w:t>
      </w:r>
    </w:p>
    <w:p w14:paraId="134305CE" w14:textId="77777777" w:rsidR="00DB0D40" w:rsidRDefault="00DB0D40" w:rsidP="00A25754">
      <w:pPr>
        <w:spacing w:line="240" w:lineRule="auto"/>
        <w:rPr>
          <w:iCs/>
        </w:rPr>
      </w:pPr>
    </w:p>
    <w:p w14:paraId="0D4278E5" w14:textId="77777777" w:rsidR="00DB0D40" w:rsidRDefault="00DB0D40" w:rsidP="00DB0D40">
      <w:r w:rsidRPr="002D2F31">
        <w:rPr>
          <w:noProof/>
          <w:lang w:eastAsia="en-US"/>
        </w:rPr>
        <w:t xml:space="preserve">A forgalomba hozatali engedély első kiadásának dátuma: </w:t>
      </w:r>
      <w:r w:rsidRPr="002D2F31">
        <w:t>1995. június 7.</w:t>
      </w:r>
    </w:p>
    <w:p w14:paraId="4A24A07D" w14:textId="77777777" w:rsidR="00810A79" w:rsidRPr="002D2F31" w:rsidRDefault="00810A79" w:rsidP="00DB0D40"/>
    <w:p w14:paraId="7A2DB732" w14:textId="77777777" w:rsidR="00DB0D40" w:rsidRPr="002D2F31" w:rsidRDefault="00DB0D40" w:rsidP="00DB0D40">
      <w:r w:rsidRPr="002D2F31">
        <w:rPr>
          <w:noProof/>
          <w:lang w:eastAsia="en-US"/>
        </w:rPr>
        <w:t>A forgalomba hozatali engedély legutóbbi megújításának dátuma:</w:t>
      </w:r>
      <w:r w:rsidRPr="002D2F31">
        <w:t xml:space="preserve"> 2011. november 28.</w:t>
      </w:r>
    </w:p>
    <w:p w14:paraId="46D9E68F" w14:textId="77777777" w:rsidR="00DB0D40" w:rsidRDefault="00DB0D40" w:rsidP="00A25754">
      <w:pPr>
        <w:spacing w:line="240" w:lineRule="auto"/>
      </w:pPr>
    </w:p>
    <w:p w14:paraId="306EDD48" w14:textId="77777777" w:rsidR="00DB0D40" w:rsidRPr="000A3E86" w:rsidRDefault="00DB0D40" w:rsidP="00DB0D40">
      <w:pPr>
        <w:keepNext/>
        <w:rPr>
          <w:u w:val="single"/>
        </w:rPr>
      </w:pPr>
      <w:r w:rsidRPr="000A3E86">
        <w:rPr>
          <w:u w:val="single"/>
        </w:rPr>
        <w:t>DUROGESIC 12 </w:t>
      </w:r>
      <w:r w:rsidRPr="000A3E86">
        <w:rPr>
          <w:bCs/>
          <w:u w:val="single"/>
        </w:rPr>
        <w:t>mikrogramm</w:t>
      </w:r>
      <w:r w:rsidRPr="000A3E86">
        <w:rPr>
          <w:u w:val="single"/>
        </w:rPr>
        <w:t>/óra transzdermális tapasz</w:t>
      </w:r>
    </w:p>
    <w:p w14:paraId="282BEB20" w14:textId="77777777" w:rsidR="00DB0D40" w:rsidRPr="002D2F31" w:rsidRDefault="00DB0D40" w:rsidP="00DB0D40">
      <w:pPr>
        <w:keepNext/>
      </w:pPr>
    </w:p>
    <w:p w14:paraId="37E7E78B" w14:textId="77777777" w:rsidR="00DB0D40" w:rsidRPr="002D2F31" w:rsidRDefault="00DB0D40" w:rsidP="00DB0D40">
      <w:pPr>
        <w:keepNext/>
      </w:pPr>
      <w:r w:rsidRPr="002D2F31">
        <w:rPr>
          <w:noProof/>
          <w:lang w:eastAsia="en-US"/>
        </w:rPr>
        <w:t xml:space="preserve">A forgalomba hozatali engedély első kiadásának dátuma: </w:t>
      </w:r>
      <w:r w:rsidRPr="002D2F31">
        <w:t>2005. április 28.</w:t>
      </w:r>
    </w:p>
    <w:p w14:paraId="56AA8CD2" w14:textId="77777777" w:rsidR="00DB0D40" w:rsidRPr="002D2F31" w:rsidRDefault="00DB0D40" w:rsidP="00DB0D40"/>
    <w:p w14:paraId="67E93F82" w14:textId="77777777" w:rsidR="00DB0D40" w:rsidRPr="002D2F31" w:rsidRDefault="00DB0D40" w:rsidP="00DB0D40">
      <w:r w:rsidRPr="002D2F31">
        <w:rPr>
          <w:noProof/>
          <w:lang w:eastAsia="en-US"/>
        </w:rPr>
        <w:t>A forgalomba hozatali engedély legutóbbi megújításának dátuma:</w:t>
      </w:r>
      <w:r w:rsidRPr="002D2F31">
        <w:t xml:space="preserve"> 2010. szeptember 3.</w:t>
      </w:r>
    </w:p>
    <w:p w14:paraId="7A365BA7" w14:textId="77777777" w:rsidR="00810A79" w:rsidRDefault="00810A79" w:rsidP="00A25754">
      <w:pPr>
        <w:spacing w:line="240" w:lineRule="auto"/>
      </w:pPr>
    </w:p>
    <w:p w14:paraId="1267186C" w14:textId="77777777" w:rsidR="00A25754" w:rsidRDefault="00A25754" w:rsidP="00A25754">
      <w:pPr>
        <w:spacing w:line="240" w:lineRule="auto"/>
      </w:pPr>
    </w:p>
    <w:p w14:paraId="1820995D" w14:textId="77777777" w:rsidR="00A25754" w:rsidRPr="00A26D67" w:rsidRDefault="00A25754" w:rsidP="00A25754">
      <w:pPr>
        <w:spacing w:line="240" w:lineRule="auto"/>
        <w:ind w:left="567" w:hanging="567"/>
        <w:rPr>
          <w:b/>
        </w:rPr>
      </w:pPr>
      <w:r>
        <w:rPr>
          <w:b/>
        </w:rPr>
        <w:t>10.</w:t>
      </w:r>
      <w:r>
        <w:rPr>
          <w:b/>
        </w:rPr>
        <w:tab/>
        <w:t>A SZÖVEG ELLENŐRZÉSÉNEK DÁTUMA</w:t>
      </w:r>
    </w:p>
    <w:p w14:paraId="35A84C1E" w14:textId="77777777" w:rsidR="00A25754" w:rsidRDefault="00A25754" w:rsidP="00A25754">
      <w:pPr>
        <w:numPr>
          <w:ilvl w:val="12"/>
          <w:numId w:val="0"/>
        </w:numPr>
        <w:spacing w:line="240" w:lineRule="auto"/>
        <w:ind w:right="-2"/>
        <w:rPr>
          <w:iCs/>
        </w:rPr>
      </w:pPr>
    </w:p>
    <w:p w14:paraId="147CF1BE" w14:textId="022235C5" w:rsidR="00A25754" w:rsidRDefault="00F15065" w:rsidP="00A22B23">
      <w:pPr>
        <w:tabs>
          <w:tab w:val="clear" w:pos="567"/>
        </w:tabs>
        <w:spacing w:line="240" w:lineRule="auto"/>
      </w:pPr>
      <w:r>
        <w:t>2025. június 23</w:t>
      </w:r>
      <w:r w:rsidR="00BD0F9B">
        <w:t>.</w:t>
      </w:r>
    </w:p>
    <w:sectPr w:rsidR="00A25754" w:rsidSect="00A25754">
      <w:headerReference w:type="default" r:id="rId15"/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665E1" w14:textId="77777777" w:rsidR="001C789D" w:rsidRDefault="001C789D">
      <w:r>
        <w:separator/>
      </w:r>
    </w:p>
  </w:endnote>
  <w:endnote w:type="continuationSeparator" w:id="0">
    <w:p w14:paraId="7DC38767" w14:textId="77777777" w:rsidR="001C789D" w:rsidRDefault="001C7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dvPSMER-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7F391" w14:textId="77777777" w:rsidR="00A25754" w:rsidRPr="000C1913" w:rsidRDefault="00A25754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>
      <w:rPr>
        <w:rFonts w:ascii="Arial" w:hAnsi="Arial"/>
      </w:rPr>
      <w:fldChar w:fldCharType="begin"/>
    </w:r>
    <w:r>
      <w:rPr>
        <w:rFonts w:ascii="Arial" w:hAnsi="Arial"/>
      </w:rPr>
      <w:instrText xml:space="preserve"> EQ </w:instrText>
    </w:r>
    <w:r>
      <w:rPr>
        <w:rFonts w:ascii="Arial" w:hAnsi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039E7" w14:textId="77777777" w:rsidR="00BD0F9B" w:rsidRPr="00BD0F9B" w:rsidRDefault="00BD0F9B" w:rsidP="00BD0F9B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BD0F9B">
      <w:rPr>
        <w:rFonts w:ascii="Times New Roman" w:hAnsi="Times New Roman"/>
        <w:sz w:val="18"/>
        <w:szCs w:val="18"/>
      </w:rPr>
      <w:t>NNGYK/ETGY/10639/2025</w:t>
    </w:r>
  </w:p>
  <w:p w14:paraId="63EA4BB3" w14:textId="77777777" w:rsidR="00BD0F9B" w:rsidRPr="00BD0F9B" w:rsidRDefault="00BD0F9B" w:rsidP="00BD0F9B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BD0F9B">
      <w:rPr>
        <w:rFonts w:ascii="Times New Roman" w:hAnsi="Times New Roman"/>
        <w:sz w:val="18"/>
        <w:szCs w:val="18"/>
      </w:rPr>
      <w:t>NNGYK/ETGY/10642/2025</w:t>
    </w:r>
  </w:p>
  <w:p w14:paraId="2E670ABD" w14:textId="77777777" w:rsidR="00BD0F9B" w:rsidRPr="00BD0F9B" w:rsidRDefault="00BD0F9B" w:rsidP="00BD0F9B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BD0F9B">
      <w:rPr>
        <w:rFonts w:ascii="Times New Roman" w:hAnsi="Times New Roman"/>
        <w:sz w:val="18"/>
        <w:szCs w:val="18"/>
      </w:rPr>
      <w:t>NNGYK/ETGY/10646/2025</w:t>
    </w:r>
  </w:p>
  <w:p w14:paraId="4213C00A" w14:textId="77777777" w:rsidR="00BD0F9B" w:rsidRPr="00BD0F9B" w:rsidRDefault="00BD0F9B" w:rsidP="00BD0F9B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BD0F9B">
      <w:rPr>
        <w:rFonts w:ascii="Times New Roman" w:hAnsi="Times New Roman"/>
        <w:sz w:val="18"/>
        <w:szCs w:val="18"/>
      </w:rPr>
      <w:t>NNGYK/ETGY/10652/2025</w:t>
    </w:r>
  </w:p>
  <w:p w14:paraId="76ED1675" w14:textId="6CCC7A24" w:rsidR="00A25754" w:rsidRPr="00C914E6" w:rsidRDefault="00BD0F9B" w:rsidP="00D72E61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BD0F9B">
      <w:rPr>
        <w:rFonts w:ascii="Times New Roman" w:hAnsi="Times New Roman"/>
        <w:sz w:val="18"/>
        <w:szCs w:val="18"/>
      </w:rPr>
      <w:t>NNGYK/ETGY/10653/2025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2E4D7" w14:textId="77777777" w:rsidR="001C789D" w:rsidRDefault="001C789D">
      <w:r>
        <w:separator/>
      </w:r>
    </w:p>
  </w:footnote>
  <w:footnote w:type="continuationSeparator" w:id="0">
    <w:p w14:paraId="59CD762E" w14:textId="77777777" w:rsidR="001C789D" w:rsidRDefault="001C7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BA953" w14:textId="1964D0F4" w:rsidR="009F5F72" w:rsidRDefault="009F5F72" w:rsidP="000A3E86">
    <w:pPr>
      <w:pStyle w:val="lfej"/>
      <w:jc w:val="center"/>
    </w:pPr>
    <w:r w:rsidRPr="009F5F72">
      <w:rPr>
        <w:rFonts w:ascii="Times New Roman" w:hAnsi="Times New Roman"/>
        <w:sz w:val="18"/>
        <w:szCs w:val="18"/>
      </w:rPr>
      <w:fldChar w:fldCharType="begin"/>
    </w:r>
    <w:r w:rsidRPr="009F5F72">
      <w:rPr>
        <w:rFonts w:ascii="Times New Roman" w:hAnsi="Times New Roman"/>
        <w:sz w:val="18"/>
        <w:szCs w:val="18"/>
      </w:rPr>
      <w:instrText>PAGE   \* MERGEFORMAT</w:instrText>
    </w:r>
    <w:r w:rsidRPr="009F5F72">
      <w:rPr>
        <w:rFonts w:ascii="Times New Roman" w:hAnsi="Times New Roman"/>
        <w:sz w:val="18"/>
        <w:szCs w:val="18"/>
      </w:rPr>
      <w:fldChar w:fldCharType="separate"/>
    </w:r>
    <w:r w:rsidR="00A47DFA">
      <w:rPr>
        <w:rFonts w:ascii="Times New Roman" w:hAnsi="Times New Roman"/>
        <w:noProof/>
        <w:sz w:val="18"/>
        <w:szCs w:val="18"/>
      </w:rPr>
      <w:t>21</w:t>
    </w:r>
    <w:r w:rsidRPr="009F5F72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2129B"/>
    <w:multiLevelType w:val="hybridMultilevel"/>
    <w:tmpl w:val="DF16D7C8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C192C"/>
    <w:multiLevelType w:val="hybridMultilevel"/>
    <w:tmpl w:val="CDD60F6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pStyle w:val="Heading4Agency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72037"/>
    <w:multiLevelType w:val="hybridMultilevel"/>
    <w:tmpl w:val="2842DBEA"/>
    <w:lvl w:ilvl="0" w:tplc="FFFFFFFF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" w15:restartNumberingAfterBreak="0">
    <w:nsid w:val="078C275B"/>
    <w:multiLevelType w:val="hybridMultilevel"/>
    <w:tmpl w:val="FA681CF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73910"/>
    <w:multiLevelType w:val="hybridMultilevel"/>
    <w:tmpl w:val="CE1E07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21909"/>
    <w:multiLevelType w:val="hybridMultilevel"/>
    <w:tmpl w:val="F06A9BB6"/>
    <w:lvl w:ilvl="0" w:tplc="642E9D36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sz w:val="1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65BD3"/>
    <w:multiLevelType w:val="hybridMultilevel"/>
    <w:tmpl w:val="6C06A69E"/>
    <w:lvl w:ilvl="0" w:tplc="642E9D36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sz w:val="1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ED6"/>
    <w:multiLevelType w:val="hybridMultilevel"/>
    <w:tmpl w:val="5204E5B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2FC523D"/>
    <w:multiLevelType w:val="hybridMultilevel"/>
    <w:tmpl w:val="6FE87006"/>
    <w:lvl w:ilvl="0" w:tplc="FFFFFFFF">
      <w:start w:val="1"/>
      <w:numFmt w:val="decimal"/>
      <w:lvlText w:val="%1."/>
      <w:lvlJc w:val="left"/>
      <w:pPr>
        <w:tabs>
          <w:tab w:val="num" w:pos="1870"/>
        </w:tabs>
        <w:ind w:left="187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544658"/>
    <w:multiLevelType w:val="hybridMultilevel"/>
    <w:tmpl w:val="CDD619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106069"/>
    <w:multiLevelType w:val="hybridMultilevel"/>
    <w:tmpl w:val="EF4E0ADE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2F2558E7"/>
    <w:multiLevelType w:val="hybridMultilevel"/>
    <w:tmpl w:val="AC8E6CE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072B8"/>
    <w:multiLevelType w:val="hybridMultilevel"/>
    <w:tmpl w:val="B9E407A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51F99"/>
    <w:multiLevelType w:val="hybridMultilevel"/>
    <w:tmpl w:val="C282AB2C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DD0E5E"/>
    <w:multiLevelType w:val="hybridMultilevel"/>
    <w:tmpl w:val="C96AA32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C11FE7"/>
    <w:multiLevelType w:val="hybridMultilevel"/>
    <w:tmpl w:val="2FEE46D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12004"/>
    <w:multiLevelType w:val="hybridMultilevel"/>
    <w:tmpl w:val="CC6E3B1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EE1AE4"/>
    <w:multiLevelType w:val="hybridMultilevel"/>
    <w:tmpl w:val="83B05FA2"/>
    <w:lvl w:ilvl="0" w:tplc="FFFFFFFF">
      <w:start w:val="1"/>
      <w:numFmt w:val="lowerLetter"/>
      <w:lvlText w:val="%1."/>
      <w:lvlJc w:val="left"/>
      <w:pPr>
        <w:ind w:left="2160" w:hanging="360"/>
      </w:p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4AF14E7F"/>
    <w:multiLevelType w:val="hybridMultilevel"/>
    <w:tmpl w:val="AC8283D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21733"/>
    <w:multiLevelType w:val="multilevel"/>
    <w:tmpl w:val="A94C57BE"/>
    <w:lvl w:ilvl="0">
      <w:start w:val="1"/>
      <w:numFmt w:val="decimal"/>
      <w:suff w:val="space"/>
      <w:lvlText w:val="%1.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space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 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5741460"/>
    <w:multiLevelType w:val="hybridMultilevel"/>
    <w:tmpl w:val="9CACE510"/>
    <w:lvl w:ilvl="0" w:tplc="642E9D36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sz w:val="1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7E1247"/>
    <w:multiLevelType w:val="hybridMultilevel"/>
    <w:tmpl w:val="6E2E7C3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092213"/>
    <w:multiLevelType w:val="hybridMultilevel"/>
    <w:tmpl w:val="D54E9612"/>
    <w:lvl w:ilvl="0" w:tplc="FD6225AC">
      <w:start w:val="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456BC2"/>
    <w:multiLevelType w:val="hybridMultilevel"/>
    <w:tmpl w:val="B85ADFB0"/>
    <w:lvl w:ilvl="0" w:tplc="FFFFFFFF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5" w15:restartNumberingAfterBreak="0">
    <w:nsid w:val="5E117F2E"/>
    <w:multiLevelType w:val="hybridMultilevel"/>
    <w:tmpl w:val="9D3EDEB0"/>
    <w:lvl w:ilvl="0" w:tplc="FFFFFFFF">
      <w:start w:val="4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6" w15:restartNumberingAfterBreak="0">
    <w:nsid w:val="601C53FD"/>
    <w:multiLevelType w:val="hybridMultilevel"/>
    <w:tmpl w:val="D69CBD2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4921E4"/>
    <w:multiLevelType w:val="hybridMultilevel"/>
    <w:tmpl w:val="D7E4F7F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8C4449"/>
    <w:multiLevelType w:val="hybridMultilevel"/>
    <w:tmpl w:val="F904BC1A"/>
    <w:lvl w:ilvl="0" w:tplc="FFFFFFFF">
      <w:numFmt w:val="bullet"/>
      <w:lvlText w:val="-"/>
      <w:lvlJc w:val="left"/>
      <w:pPr>
        <w:ind w:left="720" w:hanging="360"/>
      </w:pPr>
      <w:rPr>
        <w:rFonts w:ascii="Calibri" w:eastAsia="SimSun" w:hAnsi="Calibri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3F299B"/>
    <w:multiLevelType w:val="hybridMultilevel"/>
    <w:tmpl w:val="A156E3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E85B80"/>
    <w:multiLevelType w:val="hybridMultilevel"/>
    <w:tmpl w:val="4EF8FD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D326E9"/>
    <w:multiLevelType w:val="hybridMultilevel"/>
    <w:tmpl w:val="0442D61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0F434C"/>
    <w:multiLevelType w:val="hybridMultilevel"/>
    <w:tmpl w:val="1E5E8276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6151AF"/>
    <w:multiLevelType w:val="hybridMultilevel"/>
    <w:tmpl w:val="68E203B6"/>
    <w:lvl w:ilvl="0" w:tplc="642E9D36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sz w:val="1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3B06B2"/>
    <w:multiLevelType w:val="hybridMultilevel"/>
    <w:tmpl w:val="157203E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DE4020"/>
    <w:multiLevelType w:val="hybridMultilevel"/>
    <w:tmpl w:val="9110B522"/>
    <w:lvl w:ilvl="0" w:tplc="FFFFFFFF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7B0B2E29"/>
    <w:multiLevelType w:val="hybridMultilevel"/>
    <w:tmpl w:val="D1A2E152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8"/>
  </w:num>
  <w:num w:numId="4">
    <w:abstractNumId w:val="24"/>
  </w:num>
  <w:num w:numId="5">
    <w:abstractNumId w:val="4"/>
  </w:num>
  <w:num w:numId="6">
    <w:abstractNumId w:val="7"/>
  </w:num>
  <w:num w:numId="7">
    <w:abstractNumId w:val="27"/>
  </w:num>
  <w:num w:numId="8">
    <w:abstractNumId w:val="25"/>
  </w:num>
  <w:num w:numId="9">
    <w:abstractNumId w:val="35"/>
  </w:num>
  <w:num w:numId="10">
    <w:abstractNumId w:val="14"/>
  </w:num>
  <w:num w:numId="11">
    <w:abstractNumId w:val="28"/>
  </w:num>
  <w:num w:numId="12">
    <w:abstractNumId w:val="36"/>
  </w:num>
  <w:num w:numId="13">
    <w:abstractNumId w:val="11"/>
  </w:num>
  <w:num w:numId="14">
    <w:abstractNumId w:val="3"/>
  </w:num>
  <w:num w:numId="15">
    <w:abstractNumId w:val="19"/>
  </w:num>
  <w:num w:numId="16">
    <w:abstractNumId w:val="10"/>
  </w:num>
  <w:num w:numId="17">
    <w:abstractNumId w:val="15"/>
  </w:num>
  <w:num w:numId="18">
    <w:abstractNumId w:val="20"/>
  </w:num>
  <w:num w:numId="19">
    <w:abstractNumId w:val="2"/>
  </w:num>
  <w:num w:numId="20">
    <w:abstractNumId w:val="29"/>
  </w:num>
  <w:num w:numId="21">
    <w:abstractNumId w:val="12"/>
  </w:num>
  <w:num w:numId="22">
    <w:abstractNumId w:val="32"/>
  </w:num>
  <w:num w:numId="23">
    <w:abstractNumId w:val="26"/>
  </w:num>
  <w:num w:numId="24">
    <w:abstractNumId w:val="0"/>
  </w:num>
  <w:num w:numId="25">
    <w:abstractNumId w:val="31"/>
  </w:num>
  <w:num w:numId="26">
    <w:abstractNumId w:val="1"/>
  </w:num>
  <w:num w:numId="27">
    <w:abstractNumId w:val="17"/>
  </w:num>
  <w:num w:numId="28">
    <w:abstractNumId w:val="16"/>
  </w:num>
  <w:num w:numId="29">
    <w:abstractNumId w:val="13"/>
  </w:num>
  <w:num w:numId="30">
    <w:abstractNumId w:val="34"/>
  </w:num>
  <w:num w:numId="31">
    <w:abstractNumId w:val="22"/>
  </w:num>
  <w:num w:numId="32">
    <w:abstractNumId w:val="23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21"/>
  </w:num>
  <w:num w:numId="36">
    <w:abstractNumId w:val="6"/>
  </w:num>
  <w:num w:numId="37">
    <w:abstractNumId w:val="3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activeWritingStyle w:appName="MSWord" w:lang="nl-NL" w:vendorID="1" w:dllVersion="512" w:checkStyle="1"/>
  <w:activeWritingStyle w:appName="MSWord" w:lang="nl" w:vendorID="1" w:dllVersion="512" w:checkStyle="1"/>
  <w:activeWritingStyle w:appName="MSWord" w:lang="ar-SA" w:vendorID="4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2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10D6F"/>
    <w:rsid w:val="00012E47"/>
    <w:rsid w:val="0001766A"/>
    <w:rsid w:val="00021C95"/>
    <w:rsid w:val="00022149"/>
    <w:rsid w:val="00024390"/>
    <w:rsid w:val="000279ED"/>
    <w:rsid w:val="00032242"/>
    <w:rsid w:val="00032E13"/>
    <w:rsid w:val="0004542D"/>
    <w:rsid w:val="00047370"/>
    <w:rsid w:val="00051E68"/>
    <w:rsid w:val="00053857"/>
    <w:rsid w:val="000544DF"/>
    <w:rsid w:val="00057FC8"/>
    <w:rsid w:val="00065401"/>
    <w:rsid w:val="00067921"/>
    <w:rsid w:val="00077A6E"/>
    <w:rsid w:val="00081243"/>
    <w:rsid w:val="00081F3F"/>
    <w:rsid w:val="00085168"/>
    <w:rsid w:val="000855D1"/>
    <w:rsid w:val="00086796"/>
    <w:rsid w:val="00090F51"/>
    <w:rsid w:val="00093024"/>
    <w:rsid w:val="000A3E86"/>
    <w:rsid w:val="000B19AE"/>
    <w:rsid w:val="000B4610"/>
    <w:rsid w:val="000B692F"/>
    <w:rsid w:val="000B69DD"/>
    <w:rsid w:val="000C0E94"/>
    <w:rsid w:val="000D0190"/>
    <w:rsid w:val="000D01E2"/>
    <w:rsid w:val="000D4C1B"/>
    <w:rsid w:val="000D776F"/>
    <w:rsid w:val="000F3701"/>
    <w:rsid w:val="000F525B"/>
    <w:rsid w:val="000F6407"/>
    <w:rsid w:val="00100736"/>
    <w:rsid w:val="001075BE"/>
    <w:rsid w:val="00113B7E"/>
    <w:rsid w:val="0012495A"/>
    <w:rsid w:val="001254DB"/>
    <w:rsid w:val="00126A69"/>
    <w:rsid w:val="001308B1"/>
    <w:rsid w:val="00135010"/>
    <w:rsid w:val="001353F0"/>
    <w:rsid w:val="00135FB3"/>
    <w:rsid w:val="001425C8"/>
    <w:rsid w:val="0015541A"/>
    <w:rsid w:val="0015565D"/>
    <w:rsid w:val="00156191"/>
    <w:rsid w:val="00171062"/>
    <w:rsid w:val="00172BBC"/>
    <w:rsid w:val="00173B8F"/>
    <w:rsid w:val="001777D4"/>
    <w:rsid w:val="00193F3D"/>
    <w:rsid w:val="00194729"/>
    <w:rsid w:val="001950AB"/>
    <w:rsid w:val="00196F9A"/>
    <w:rsid w:val="001A3122"/>
    <w:rsid w:val="001B55EB"/>
    <w:rsid w:val="001C789D"/>
    <w:rsid w:val="001C7E9E"/>
    <w:rsid w:val="001D4ACE"/>
    <w:rsid w:val="001E359F"/>
    <w:rsid w:val="001E3926"/>
    <w:rsid w:val="001E5C74"/>
    <w:rsid w:val="001E5F33"/>
    <w:rsid w:val="002033A8"/>
    <w:rsid w:val="00206E25"/>
    <w:rsid w:val="00216661"/>
    <w:rsid w:val="00223617"/>
    <w:rsid w:val="00225876"/>
    <w:rsid w:val="00255ED3"/>
    <w:rsid w:val="002562B2"/>
    <w:rsid w:val="002648C1"/>
    <w:rsid w:val="00266449"/>
    <w:rsid w:val="00272D52"/>
    <w:rsid w:val="00275B70"/>
    <w:rsid w:val="0028043A"/>
    <w:rsid w:val="00280698"/>
    <w:rsid w:val="002914AB"/>
    <w:rsid w:val="00295781"/>
    <w:rsid w:val="00297BAB"/>
    <w:rsid w:val="002A2E23"/>
    <w:rsid w:val="002A7EB8"/>
    <w:rsid w:val="002B0EB3"/>
    <w:rsid w:val="002B2845"/>
    <w:rsid w:val="002B64F9"/>
    <w:rsid w:val="002B72ED"/>
    <w:rsid w:val="002C2BA3"/>
    <w:rsid w:val="002C36E8"/>
    <w:rsid w:val="002D3C83"/>
    <w:rsid w:val="002E1515"/>
    <w:rsid w:val="002F3477"/>
    <w:rsid w:val="002F3840"/>
    <w:rsid w:val="002F7882"/>
    <w:rsid w:val="00305E87"/>
    <w:rsid w:val="00311E9F"/>
    <w:rsid w:val="00312AF3"/>
    <w:rsid w:val="0031661F"/>
    <w:rsid w:val="00317C43"/>
    <w:rsid w:val="00320EC9"/>
    <w:rsid w:val="00324D42"/>
    <w:rsid w:val="003274ED"/>
    <w:rsid w:val="0033091B"/>
    <w:rsid w:val="00336277"/>
    <w:rsid w:val="003466A8"/>
    <w:rsid w:val="00354E2D"/>
    <w:rsid w:val="00357B56"/>
    <w:rsid w:val="00361198"/>
    <w:rsid w:val="0036670D"/>
    <w:rsid w:val="0037160E"/>
    <w:rsid w:val="0037604E"/>
    <w:rsid w:val="0037623C"/>
    <w:rsid w:val="00382379"/>
    <w:rsid w:val="00386223"/>
    <w:rsid w:val="003868A1"/>
    <w:rsid w:val="00386A9D"/>
    <w:rsid w:val="00394B38"/>
    <w:rsid w:val="003A1B79"/>
    <w:rsid w:val="003A5A70"/>
    <w:rsid w:val="003B0548"/>
    <w:rsid w:val="003B1399"/>
    <w:rsid w:val="003B4B16"/>
    <w:rsid w:val="003C14B3"/>
    <w:rsid w:val="003C5B8A"/>
    <w:rsid w:val="003D686B"/>
    <w:rsid w:val="003E5448"/>
    <w:rsid w:val="003E5CEB"/>
    <w:rsid w:val="003E5EE7"/>
    <w:rsid w:val="003F418D"/>
    <w:rsid w:val="003F50DE"/>
    <w:rsid w:val="003F7738"/>
    <w:rsid w:val="00405A51"/>
    <w:rsid w:val="00410183"/>
    <w:rsid w:val="004118D0"/>
    <w:rsid w:val="00435266"/>
    <w:rsid w:val="00442520"/>
    <w:rsid w:val="00445A9D"/>
    <w:rsid w:val="00453101"/>
    <w:rsid w:val="00456B89"/>
    <w:rsid w:val="004605F5"/>
    <w:rsid w:val="00463368"/>
    <w:rsid w:val="004745C6"/>
    <w:rsid w:val="00475D48"/>
    <w:rsid w:val="00481EB0"/>
    <w:rsid w:val="00483D6F"/>
    <w:rsid w:val="00490D25"/>
    <w:rsid w:val="004945C6"/>
    <w:rsid w:val="00496175"/>
    <w:rsid w:val="004A1CAE"/>
    <w:rsid w:val="004A3395"/>
    <w:rsid w:val="004B6B3C"/>
    <w:rsid w:val="004C2B93"/>
    <w:rsid w:val="004D72F9"/>
    <w:rsid w:val="004F6A1F"/>
    <w:rsid w:val="004F6FB0"/>
    <w:rsid w:val="00501570"/>
    <w:rsid w:val="005048D2"/>
    <w:rsid w:val="0052234F"/>
    <w:rsid w:val="00522443"/>
    <w:rsid w:val="00527146"/>
    <w:rsid w:val="005279AD"/>
    <w:rsid w:val="0053420F"/>
    <w:rsid w:val="0054557A"/>
    <w:rsid w:val="00553B2F"/>
    <w:rsid w:val="00555E1C"/>
    <w:rsid w:val="005602B8"/>
    <w:rsid w:val="0056673C"/>
    <w:rsid w:val="00575165"/>
    <w:rsid w:val="00577833"/>
    <w:rsid w:val="00580993"/>
    <w:rsid w:val="00584177"/>
    <w:rsid w:val="005870B8"/>
    <w:rsid w:val="00595AF3"/>
    <w:rsid w:val="00595D8D"/>
    <w:rsid w:val="005A1739"/>
    <w:rsid w:val="005A53A6"/>
    <w:rsid w:val="005A5841"/>
    <w:rsid w:val="005D3A06"/>
    <w:rsid w:val="005D62BE"/>
    <w:rsid w:val="005D64D6"/>
    <w:rsid w:val="005E1FB1"/>
    <w:rsid w:val="005E2F96"/>
    <w:rsid w:val="005E4291"/>
    <w:rsid w:val="005E5F80"/>
    <w:rsid w:val="005F0DDC"/>
    <w:rsid w:val="00621C7F"/>
    <w:rsid w:val="00622786"/>
    <w:rsid w:val="006249FA"/>
    <w:rsid w:val="00632E74"/>
    <w:rsid w:val="00636E07"/>
    <w:rsid w:val="00644391"/>
    <w:rsid w:val="006467D3"/>
    <w:rsid w:val="006468C8"/>
    <w:rsid w:val="00651FD8"/>
    <w:rsid w:val="0066135C"/>
    <w:rsid w:val="0067659F"/>
    <w:rsid w:val="00682272"/>
    <w:rsid w:val="00686557"/>
    <w:rsid w:val="006867E4"/>
    <w:rsid w:val="006956CA"/>
    <w:rsid w:val="00695743"/>
    <w:rsid w:val="00696B77"/>
    <w:rsid w:val="006A3132"/>
    <w:rsid w:val="006A64AF"/>
    <w:rsid w:val="006B19E9"/>
    <w:rsid w:val="006B225F"/>
    <w:rsid w:val="006B3548"/>
    <w:rsid w:val="006B6554"/>
    <w:rsid w:val="006B70DB"/>
    <w:rsid w:val="006C169C"/>
    <w:rsid w:val="006C472A"/>
    <w:rsid w:val="006C65BB"/>
    <w:rsid w:val="006D199C"/>
    <w:rsid w:val="006D4C3D"/>
    <w:rsid w:val="006D7088"/>
    <w:rsid w:val="006E11EA"/>
    <w:rsid w:val="006E2899"/>
    <w:rsid w:val="006F0CE5"/>
    <w:rsid w:val="007003BA"/>
    <w:rsid w:val="00700EDF"/>
    <w:rsid w:val="00705E89"/>
    <w:rsid w:val="00713C83"/>
    <w:rsid w:val="007206EA"/>
    <w:rsid w:val="00721B36"/>
    <w:rsid w:val="00724729"/>
    <w:rsid w:val="007270DC"/>
    <w:rsid w:val="00733D7E"/>
    <w:rsid w:val="00735092"/>
    <w:rsid w:val="00755340"/>
    <w:rsid w:val="00760084"/>
    <w:rsid w:val="00767819"/>
    <w:rsid w:val="00773153"/>
    <w:rsid w:val="007742E5"/>
    <w:rsid w:val="00775E92"/>
    <w:rsid w:val="007818EF"/>
    <w:rsid w:val="00787094"/>
    <w:rsid w:val="007A2D31"/>
    <w:rsid w:val="007A5EE6"/>
    <w:rsid w:val="007A627D"/>
    <w:rsid w:val="007C097B"/>
    <w:rsid w:val="007D0CA1"/>
    <w:rsid w:val="007D1B10"/>
    <w:rsid w:val="007D4EFC"/>
    <w:rsid w:val="007D6991"/>
    <w:rsid w:val="007E06F3"/>
    <w:rsid w:val="007E30A8"/>
    <w:rsid w:val="007E3877"/>
    <w:rsid w:val="008011FA"/>
    <w:rsid w:val="00801229"/>
    <w:rsid w:val="00810A79"/>
    <w:rsid w:val="00813C0B"/>
    <w:rsid w:val="00815086"/>
    <w:rsid w:val="0082097A"/>
    <w:rsid w:val="00821948"/>
    <w:rsid w:val="00824929"/>
    <w:rsid w:val="00834786"/>
    <w:rsid w:val="00834FC5"/>
    <w:rsid w:val="00835073"/>
    <w:rsid w:val="00835E90"/>
    <w:rsid w:val="00841C58"/>
    <w:rsid w:val="00851EF0"/>
    <w:rsid w:val="0086055A"/>
    <w:rsid w:val="00861E75"/>
    <w:rsid w:val="00866AEA"/>
    <w:rsid w:val="00877D89"/>
    <w:rsid w:val="00892CCE"/>
    <w:rsid w:val="008932EE"/>
    <w:rsid w:val="00893BB5"/>
    <w:rsid w:val="00895341"/>
    <w:rsid w:val="008A453B"/>
    <w:rsid w:val="008A5E98"/>
    <w:rsid w:val="008B1110"/>
    <w:rsid w:val="008B5AC6"/>
    <w:rsid w:val="008C2133"/>
    <w:rsid w:val="008C759F"/>
    <w:rsid w:val="008F507B"/>
    <w:rsid w:val="00904370"/>
    <w:rsid w:val="009119D5"/>
    <w:rsid w:val="00916B2F"/>
    <w:rsid w:val="00927851"/>
    <w:rsid w:val="00933857"/>
    <w:rsid w:val="009361C2"/>
    <w:rsid w:val="00937872"/>
    <w:rsid w:val="00937C3D"/>
    <w:rsid w:val="00940D0C"/>
    <w:rsid w:val="00950961"/>
    <w:rsid w:val="009572F1"/>
    <w:rsid w:val="009631F0"/>
    <w:rsid w:val="0097648F"/>
    <w:rsid w:val="00985035"/>
    <w:rsid w:val="009B29A4"/>
    <w:rsid w:val="009B3108"/>
    <w:rsid w:val="009D4E64"/>
    <w:rsid w:val="009E353F"/>
    <w:rsid w:val="009F187A"/>
    <w:rsid w:val="009F5F72"/>
    <w:rsid w:val="00A04D0A"/>
    <w:rsid w:val="00A1239C"/>
    <w:rsid w:val="00A13260"/>
    <w:rsid w:val="00A13B0F"/>
    <w:rsid w:val="00A14B56"/>
    <w:rsid w:val="00A210BC"/>
    <w:rsid w:val="00A222F8"/>
    <w:rsid w:val="00A225FB"/>
    <w:rsid w:val="00A22B23"/>
    <w:rsid w:val="00A25754"/>
    <w:rsid w:val="00A26828"/>
    <w:rsid w:val="00A343F8"/>
    <w:rsid w:val="00A40182"/>
    <w:rsid w:val="00A47DFA"/>
    <w:rsid w:val="00A51476"/>
    <w:rsid w:val="00A54A4A"/>
    <w:rsid w:val="00A57988"/>
    <w:rsid w:val="00A6564F"/>
    <w:rsid w:val="00A665DE"/>
    <w:rsid w:val="00A80F25"/>
    <w:rsid w:val="00A84003"/>
    <w:rsid w:val="00A87311"/>
    <w:rsid w:val="00A90CF1"/>
    <w:rsid w:val="00AA2C53"/>
    <w:rsid w:val="00AB45FE"/>
    <w:rsid w:val="00AB71FC"/>
    <w:rsid w:val="00AB7EA4"/>
    <w:rsid w:val="00AC0497"/>
    <w:rsid w:val="00AC5F1D"/>
    <w:rsid w:val="00AD618F"/>
    <w:rsid w:val="00AD6BB1"/>
    <w:rsid w:val="00AD6BE5"/>
    <w:rsid w:val="00AD6FC6"/>
    <w:rsid w:val="00AE5E9D"/>
    <w:rsid w:val="00AE69D9"/>
    <w:rsid w:val="00AF0E46"/>
    <w:rsid w:val="00AF10B1"/>
    <w:rsid w:val="00AF6223"/>
    <w:rsid w:val="00AF72E3"/>
    <w:rsid w:val="00B01CB6"/>
    <w:rsid w:val="00B0401C"/>
    <w:rsid w:val="00B2334C"/>
    <w:rsid w:val="00B24DE9"/>
    <w:rsid w:val="00B338DC"/>
    <w:rsid w:val="00B340B5"/>
    <w:rsid w:val="00B371A3"/>
    <w:rsid w:val="00B378DA"/>
    <w:rsid w:val="00B40C4D"/>
    <w:rsid w:val="00B44D20"/>
    <w:rsid w:val="00B5473D"/>
    <w:rsid w:val="00B60045"/>
    <w:rsid w:val="00B70676"/>
    <w:rsid w:val="00B70D6B"/>
    <w:rsid w:val="00B75BF7"/>
    <w:rsid w:val="00B80739"/>
    <w:rsid w:val="00B80F1C"/>
    <w:rsid w:val="00B87158"/>
    <w:rsid w:val="00B9008A"/>
    <w:rsid w:val="00B90A42"/>
    <w:rsid w:val="00B92654"/>
    <w:rsid w:val="00B93B42"/>
    <w:rsid w:val="00BA2F97"/>
    <w:rsid w:val="00BB0C55"/>
    <w:rsid w:val="00BB2F4F"/>
    <w:rsid w:val="00BB70C6"/>
    <w:rsid w:val="00BC652E"/>
    <w:rsid w:val="00BD05B7"/>
    <w:rsid w:val="00BD0F9B"/>
    <w:rsid w:val="00BD551F"/>
    <w:rsid w:val="00BD7036"/>
    <w:rsid w:val="00BE1C1D"/>
    <w:rsid w:val="00BF0260"/>
    <w:rsid w:val="00BF54FE"/>
    <w:rsid w:val="00C125C0"/>
    <w:rsid w:val="00C12B27"/>
    <w:rsid w:val="00C14006"/>
    <w:rsid w:val="00C17518"/>
    <w:rsid w:val="00C217E4"/>
    <w:rsid w:val="00C22533"/>
    <w:rsid w:val="00C3031C"/>
    <w:rsid w:val="00C320C2"/>
    <w:rsid w:val="00C369C9"/>
    <w:rsid w:val="00C52803"/>
    <w:rsid w:val="00C53ACC"/>
    <w:rsid w:val="00C55694"/>
    <w:rsid w:val="00C67586"/>
    <w:rsid w:val="00C67599"/>
    <w:rsid w:val="00C723AD"/>
    <w:rsid w:val="00C74560"/>
    <w:rsid w:val="00C87E8E"/>
    <w:rsid w:val="00C914E6"/>
    <w:rsid w:val="00C942B6"/>
    <w:rsid w:val="00C95BE8"/>
    <w:rsid w:val="00CA1913"/>
    <w:rsid w:val="00CA60E2"/>
    <w:rsid w:val="00CB36CC"/>
    <w:rsid w:val="00CC0D53"/>
    <w:rsid w:val="00CC4753"/>
    <w:rsid w:val="00CC5DF0"/>
    <w:rsid w:val="00CC68A0"/>
    <w:rsid w:val="00CD2FE8"/>
    <w:rsid w:val="00CD6B91"/>
    <w:rsid w:val="00CE7C80"/>
    <w:rsid w:val="00CF3E7D"/>
    <w:rsid w:val="00CF4123"/>
    <w:rsid w:val="00D20ED4"/>
    <w:rsid w:val="00D2319E"/>
    <w:rsid w:val="00D445B6"/>
    <w:rsid w:val="00D472FA"/>
    <w:rsid w:val="00D618A4"/>
    <w:rsid w:val="00D62336"/>
    <w:rsid w:val="00D62C3F"/>
    <w:rsid w:val="00D64C9C"/>
    <w:rsid w:val="00D709B3"/>
    <w:rsid w:val="00D72E61"/>
    <w:rsid w:val="00D741E9"/>
    <w:rsid w:val="00D82AD1"/>
    <w:rsid w:val="00D83B81"/>
    <w:rsid w:val="00D84701"/>
    <w:rsid w:val="00D96761"/>
    <w:rsid w:val="00D96CFC"/>
    <w:rsid w:val="00DA0516"/>
    <w:rsid w:val="00DA0CA4"/>
    <w:rsid w:val="00DA59A4"/>
    <w:rsid w:val="00DB0D40"/>
    <w:rsid w:val="00DB35F7"/>
    <w:rsid w:val="00DB5C0A"/>
    <w:rsid w:val="00DC4D80"/>
    <w:rsid w:val="00DE0844"/>
    <w:rsid w:val="00DE2061"/>
    <w:rsid w:val="00DF2D6C"/>
    <w:rsid w:val="00E1716C"/>
    <w:rsid w:val="00E313B5"/>
    <w:rsid w:val="00E31B60"/>
    <w:rsid w:val="00E32E73"/>
    <w:rsid w:val="00E33329"/>
    <w:rsid w:val="00E33CF3"/>
    <w:rsid w:val="00E35A9D"/>
    <w:rsid w:val="00E42DD9"/>
    <w:rsid w:val="00E55B5F"/>
    <w:rsid w:val="00E71F70"/>
    <w:rsid w:val="00E73335"/>
    <w:rsid w:val="00E74A8E"/>
    <w:rsid w:val="00E90860"/>
    <w:rsid w:val="00E9710D"/>
    <w:rsid w:val="00EA1EDA"/>
    <w:rsid w:val="00EA642C"/>
    <w:rsid w:val="00EB3F21"/>
    <w:rsid w:val="00EB441D"/>
    <w:rsid w:val="00EC1B5A"/>
    <w:rsid w:val="00ED38E6"/>
    <w:rsid w:val="00EE17C1"/>
    <w:rsid w:val="00EE2105"/>
    <w:rsid w:val="00EE2E10"/>
    <w:rsid w:val="00EE4BA7"/>
    <w:rsid w:val="00EF2D11"/>
    <w:rsid w:val="00EF380F"/>
    <w:rsid w:val="00F0006E"/>
    <w:rsid w:val="00F0073E"/>
    <w:rsid w:val="00F12D53"/>
    <w:rsid w:val="00F1390D"/>
    <w:rsid w:val="00F15065"/>
    <w:rsid w:val="00F17AC1"/>
    <w:rsid w:val="00F20160"/>
    <w:rsid w:val="00F22674"/>
    <w:rsid w:val="00F25F69"/>
    <w:rsid w:val="00F32AA1"/>
    <w:rsid w:val="00F37F06"/>
    <w:rsid w:val="00F40026"/>
    <w:rsid w:val="00F535DB"/>
    <w:rsid w:val="00F61D76"/>
    <w:rsid w:val="00F76B50"/>
    <w:rsid w:val="00F7772F"/>
    <w:rsid w:val="00F81A00"/>
    <w:rsid w:val="00F84318"/>
    <w:rsid w:val="00F87661"/>
    <w:rsid w:val="00F9240F"/>
    <w:rsid w:val="00F94453"/>
    <w:rsid w:val="00F96129"/>
    <w:rsid w:val="00FA19BA"/>
    <w:rsid w:val="00FC5CFF"/>
    <w:rsid w:val="00FC7246"/>
    <w:rsid w:val="00FD196B"/>
    <w:rsid w:val="00FD1EF6"/>
    <w:rsid w:val="00FD33AC"/>
    <w:rsid w:val="00FE0BBF"/>
    <w:rsid w:val="00FE3D30"/>
    <w:rsid w:val="00FE4473"/>
    <w:rsid w:val="00FF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CB0F5C4"/>
  <w15:chartTrackingRefBased/>
  <w15:docId w15:val="{9009ABCC-6BD4-41EE-AC8A-79A7D9D2E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A5841"/>
    <w:pPr>
      <w:tabs>
        <w:tab w:val="left" w:pos="567"/>
      </w:tabs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  <w:lang w:val="hu-HU" w:eastAsia="hu-HU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  <w:lang w:val="hu-HU" w:eastAsia="hu-HU"/>
    </w:rPr>
  </w:style>
  <w:style w:type="paragraph" w:customStyle="1" w:styleId="AHeader1">
    <w:name w:val="AHeader 1"/>
    <w:basedOn w:val="Norml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  <w:lang w:val="hu-HU" w:eastAsia="hu-HU"/>
    </w:rPr>
  </w:style>
  <w:style w:type="paragraph" w:customStyle="1" w:styleId="Default">
    <w:name w:val="Default"/>
    <w:pPr>
      <w:autoSpaceDE w:val="0"/>
      <w:autoSpaceDN w:val="0"/>
      <w:adjustRightInd w:val="0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qFormat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  <w:lang w:val="hu-HU" w:eastAsia="hu-HU"/>
    </w:rPr>
  </w:style>
  <w:style w:type="paragraph" w:customStyle="1" w:styleId="Normal2">
    <w:name w:val="Normal2"/>
    <w:qFormat/>
    <w:rsid w:val="005D64FB"/>
    <w:pPr>
      <w:jc w:val="both"/>
    </w:pPr>
    <w:rPr>
      <w:sz w:val="24"/>
    </w:rPr>
  </w:style>
  <w:style w:type="paragraph" w:customStyle="1" w:styleId="TableText">
    <w:name w:val="TableText"/>
    <w:rsid w:val="005D64FB"/>
    <w:pPr>
      <w:keepNext/>
    </w:pPr>
  </w:style>
  <w:style w:type="paragraph" w:styleId="Lbjegyzetszveg">
    <w:name w:val="footnote text"/>
    <w:link w:val="LbjegyzetszvegChar"/>
    <w:rsid w:val="00EE0FF8"/>
    <w:pPr>
      <w:tabs>
        <w:tab w:val="left" w:pos="288"/>
      </w:tabs>
      <w:spacing w:after="120"/>
      <w:ind w:left="288" w:hanging="288"/>
      <w:jc w:val="both"/>
    </w:pPr>
  </w:style>
  <w:style w:type="character" w:customStyle="1" w:styleId="LbjegyzetszvegChar">
    <w:name w:val="Lábjegyzetszöveg Char"/>
    <w:link w:val="Lbjegyzetszveg"/>
    <w:rsid w:val="00EE0FF8"/>
    <w:rPr>
      <w:lang w:val="hu-HU" w:eastAsia="hu-HU" w:bidi="ar-SA"/>
    </w:rPr>
  </w:style>
  <w:style w:type="character" w:styleId="Lbjegyzet-hivatkozs">
    <w:name w:val="footnote reference"/>
    <w:rsid w:val="00EE0FF8"/>
    <w:rPr>
      <w:noProof w:val="0"/>
      <w:color w:val="000000"/>
      <w:vertAlign w:val="superscript"/>
      <w:lang w:val="hu-HU" w:eastAsia="hu-HU"/>
    </w:rPr>
  </w:style>
  <w:style w:type="paragraph" w:styleId="NormlWeb">
    <w:name w:val="Normal (Web)"/>
    <w:basedOn w:val="Norml"/>
    <w:rsid w:val="00F77A70"/>
    <w:pPr>
      <w:tabs>
        <w:tab w:val="clear" w:pos="567"/>
      </w:tabs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Normlbehzs">
    <w:name w:val="Normal Indent"/>
    <w:basedOn w:val="Norml"/>
    <w:rsid w:val="00C54BB9"/>
    <w:pPr>
      <w:tabs>
        <w:tab w:val="clear" w:pos="567"/>
      </w:tabs>
      <w:spacing w:after="120" w:line="240" w:lineRule="auto"/>
      <w:ind w:left="720"/>
    </w:pPr>
  </w:style>
  <w:style w:type="table" w:styleId="Rcsostblzat">
    <w:name w:val="Table Grid"/>
    <w:basedOn w:val="Normltblzat"/>
    <w:rsid w:val="004217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4C0F64"/>
    <w:pPr>
      <w:ind w:left="720"/>
    </w:pPr>
  </w:style>
  <w:style w:type="paragraph" w:styleId="Vltozat">
    <w:name w:val="Revision"/>
    <w:hidden/>
    <w:uiPriority w:val="99"/>
    <w:semiHidden/>
    <w:rsid w:val="00DD340C"/>
    <w:rPr>
      <w:sz w:val="22"/>
    </w:rPr>
  </w:style>
  <w:style w:type="character" w:customStyle="1" w:styleId="lfejChar">
    <w:name w:val="Élőfej Char"/>
    <w:link w:val="lfej"/>
    <w:uiPriority w:val="99"/>
    <w:rsid w:val="003C15B3"/>
    <w:rPr>
      <w:rFonts w:ascii="Helvetica" w:hAnsi="Helvetica"/>
      <w:lang w:val="hu-HU" w:eastAsia="hu-HU"/>
    </w:rPr>
  </w:style>
  <w:style w:type="character" w:customStyle="1" w:styleId="JegyzetszvegChar">
    <w:name w:val="Jegyzetszöveg Char"/>
    <w:link w:val="Jegyzetszveg"/>
    <w:semiHidden/>
    <w:rsid w:val="00786568"/>
    <w:rPr>
      <w:lang w:val="hu-HU" w:eastAsia="hu-HU"/>
    </w:rPr>
  </w:style>
  <w:style w:type="paragraph" w:customStyle="1" w:styleId="Non-bullet">
    <w:name w:val="Non-bullet"/>
    <w:basedOn w:val="Norml"/>
    <w:link w:val="Non-bulletChar"/>
    <w:qFormat/>
    <w:rsid w:val="00543C10"/>
    <w:pPr>
      <w:tabs>
        <w:tab w:val="clear" w:pos="567"/>
      </w:tabs>
      <w:spacing w:after="240" w:line="240" w:lineRule="auto"/>
      <w:ind w:left="431"/>
      <w:jc w:val="both"/>
    </w:pPr>
    <w:rPr>
      <w:sz w:val="24"/>
    </w:rPr>
  </w:style>
  <w:style w:type="character" w:customStyle="1" w:styleId="Non-bulletChar">
    <w:name w:val="Non-bullet Char"/>
    <w:link w:val="Non-bullet"/>
    <w:rsid w:val="00543C10"/>
    <w:rPr>
      <w:sz w:val="24"/>
      <w:lang w:val="hu-HU" w:eastAsia="hu-HU"/>
    </w:rPr>
  </w:style>
  <w:style w:type="paragraph" w:customStyle="1" w:styleId="Heading4Agency">
    <w:name w:val="Heading 4 (Agency)"/>
    <w:basedOn w:val="Norml"/>
    <w:next w:val="BodytextAgency"/>
    <w:semiHidden/>
    <w:rsid w:val="00F87F24"/>
    <w:pPr>
      <w:keepNext/>
      <w:numPr>
        <w:ilvl w:val="3"/>
        <w:numId w:val="26"/>
      </w:numPr>
      <w:tabs>
        <w:tab w:val="clear" w:pos="567"/>
      </w:tabs>
      <w:spacing w:before="280" w:after="220" w:line="240" w:lineRule="auto"/>
      <w:outlineLvl w:val="3"/>
    </w:pPr>
    <w:rPr>
      <w:rFonts w:ascii="Verdana" w:eastAsia="Verdana" w:hAnsi="Verdana" w:cs="Arial"/>
      <w:b/>
      <w:bCs/>
      <w:i/>
      <w:kern w:val="32"/>
      <w:sz w:val="18"/>
      <w:szCs w:val="18"/>
    </w:rPr>
  </w:style>
  <w:style w:type="paragraph" w:customStyle="1" w:styleId="BodyText12">
    <w:name w:val="Body Text 12"/>
    <w:link w:val="BodyText12Char"/>
    <w:qFormat/>
    <w:rsid w:val="00466A3D"/>
    <w:pPr>
      <w:spacing w:after="240" w:line="264" w:lineRule="auto"/>
      <w:jc w:val="both"/>
    </w:pPr>
    <w:rPr>
      <w:rFonts w:eastAsia="Times New Roman"/>
      <w:sz w:val="24"/>
    </w:rPr>
  </w:style>
  <w:style w:type="character" w:customStyle="1" w:styleId="BodyText12Char">
    <w:name w:val="Body Text 12 Char"/>
    <w:link w:val="BodyText12"/>
    <w:rsid w:val="00466A3D"/>
    <w:rPr>
      <w:rFonts w:eastAsia="Times New Roman"/>
      <w:sz w:val="24"/>
      <w:lang w:val="hu-HU" w:eastAsia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Flow_SignoffStatus xmlns="87a12c2e-30ca-4884-a8f3-aaf1cec579a2" xsi:nil="true"/>
    <_ip_UnifiedCompliancePolicyProperties xmlns="http://schemas.microsoft.com/sharepoint/v3" xsi:nil="true"/>
    <TaxCatchAll xmlns="2741efd5-241a-4470-b225-a786206d9aef"/>
    <Processed xmlns="87a12c2e-30ca-4884-a8f3-aaf1cec579a2" xsi:nil="true"/>
    <order0 xmlns="87a12c2e-30ca-4884-a8f3-aaf1cec579a2" xsi:nil="true"/>
    <lcf76f155ced4ddcb4097134ff3c332f xmlns="87a12c2e-30ca-4884-a8f3-aaf1cec579a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7D130A5A58B8439ABFAABEC7E6D768" ma:contentTypeVersion="25" ma:contentTypeDescription="Create a new document." ma:contentTypeScope="" ma:versionID="6fc0aa80d74dc5d1c90cd9fa5f05809e">
  <xsd:schema xmlns:xsd="http://www.w3.org/2001/XMLSchema" xmlns:xs="http://www.w3.org/2001/XMLSchema" xmlns:p="http://schemas.microsoft.com/office/2006/metadata/properties" xmlns:ns1="http://schemas.microsoft.com/sharepoint/v3" xmlns:ns2="2741efd5-241a-4470-b225-a786206d9aef" xmlns:ns3="81dedaec-7d70-49d0-a98b-66894347430a" xmlns:ns4="87a12c2e-30ca-4884-a8f3-aaf1cec579a2" targetNamespace="http://schemas.microsoft.com/office/2006/metadata/properties" ma:root="true" ma:fieldsID="5e42a9ab8911d1beb379a303588703b4" ns1:_="" ns2:_="" ns3:_="" ns4:_="">
    <xsd:import namespace="http://schemas.microsoft.com/sharepoint/v3"/>
    <xsd:import namespace="2741efd5-241a-4470-b225-a786206d9aef"/>
    <xsd:import namespace="81dedaec-7d70-49d0-a98b-66894347430a"/>
    <xsd:import namespace="87a12c2e-30ca-4884-a8f3-aaf1cec579a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Processed" minOccurs="0"/>
                <xsd:element ref="ns4:MediaLengthInSeconds" minOccurs="0"/>
                <xsd:element ref="ns4:lcf76f155ced4ddcb4097134ff3c332f" minOccurs="0"/>
                <xsd:element ref="ns2:TaxCatchAll" minOccurs="0"/>
                <xsd:element ref="ns4:_Flow_SignoffStatus" minOccurs="0"/>
                <xsd:element ref="ns4:MediaServiceObjectDetectorVersions" minOccurs="0"/>
                <xsd:element ref="ns4:MediaServiceSearchProperties" minOccurs="0"/>
                <xsd:element ref="ns4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41efd5-241a-4470-b225-a786206d9ae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01b54f4a-7768-4990-90aa-14f1cc962b0c}" ma:internalName="TaxCatchAll" ma:showField="CatchAllData" ma:web="2741efd5-241a-4470-b225-a786206d9a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dedaec-7d70-49d0-a98b-66894347430a" elementFormDefault="qualified">
    <xsd:import namespace="http://schemas.microsoft.com/office/2006/documentManagement/types"/>
    <xsd:import namespace="http://schemas.microsoft.com/office/infopath/2007/PartnerControls"/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12c2e-30ca-4884-a8f3-aaf1cec579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Processed" ma:index="24" nillable="true" ma:displayName="Processed" ma:default="1" ma:format="Dropdown" ma:internalName="Processed">
      <xsd:simpleType>
        <xsd:restriction base="dms:Boolean"/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e82b97c-6a8a-4995-9eb5-298aced380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9" nillable="true" ma:displayName="Sign-off status" ma:internalName="Sign_x002d_off_x0020_status">
      <xsd:simpleType>
        <xsd:restriction base="dms:Text"/>
      </xsd:simpleType>
    </xsd:element>
    <xsd:element name="MediaServiceObjectDetectorVersions" ma:index="3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rder0" ma:index="32" nillable="true" ma:displayName="order" ma:format="Dropdown" ma:internalName="order0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7FB32-3FDD-4D01-AB5D-4A224A2948FB}">
  <ds:schemaRefs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7a12c2e-30ca-4884-a8f3-aaf1cec579a2"/>
    <ds:schemaRef ds:uri="http://schemas.microsoft.com/sharepoint/v3"/>
    <ds:schemaRef ds:uri="http://www.w3.org/XML/1998/namespace"/>
    <ds:schemaRef ds:uri="81dedaec-7d70-49d0-a98b-66894347430a"/>
    <ds:schemaRef ds:uri="2741efd5-241a-4470-b225-a786206d9aef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7E89566-4EDB-4A59-A8F6-A610DCDBE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741efd5-241a-4470-b225-a786206d9aef"/>
    <ds:schemaRef ds:uri="81dedaec-7d70-49d0-a98b-66894347430a"/>
    <ds:schemaRef ds:uri="87a12c2e-30ca-4884-a8f3-aaf1cec57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7C9B74-F49A-44BA-A9A2-FC7A425AE6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5BF978-0D51-4CAE-82A0-ACEBB540B83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ca48ea3-8c75-4d36-b64f-70604b11fd22}" enabled="1" method="Standard" siteId="{3ac94b33-9135-4821-9502-eafda6592a3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7780</Words>
  <Characters>56243</Characters>
  <Application>Microsoft Office Word</Application>
  <DocSecurity>0</DocSecurity>
  <Lines>468</Lines>
  <Paragraphs>127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Johnson &amp; Johnson</Company>
  <LinksUpToDate>false</LinksUpToDate>
  <CharactersWithSpaces>63896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transl</dc:creator>
  <cp:keywords/>
  <cp:lastModifiedBy>HU_OGYI_50.1</cp:lastModifiedBy>
  <cp:revision>2</cp:revision>
  <cp:lastPrinted>2016-07-19T12:33:00Z</cp:lastPrinted>
  <dcterms:created xsi:type="dcterms:W3CDTF">2025-07-21T08:18:00Z</dcterms:created>
  <dcterms:modified xsi:type="dcterms:W3CDTF">2025-07-21T08:18:00Z</dcterms:modified>
</cp:coreProperties>
</file>