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BBB29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1.</w:t>
      </w:r>
      <w:r w:rsidRPr="00831917">
        <w:rPr>
          <w:b/>
          <w:szCs w:val="22"/>
        </w:rPr>
        <w:tab/>
        <w:t>A GYÓGYSZER NEVE</w:t>
      </w:r>
    </w:p>
    <w:p w14:paraId="5B17CEDD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3B67CC40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>Zinnat 125 mg filmtabletta</w:t>
      </w:r>
    </w:p>
    <w:p w14:paraId="18139688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Zinnat 250 mg filmtabletta</w:t>
      </w:r>
    </w:p>
    <w:p w14:paraId="4282ACBB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Zinnat 500 mg filmtabletta</w:t>
      </w:r>
    </w:p>
    <w:p w14:paraId="2A296D28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Zinnat 125 mg/5 ml granulátum belsőleges szuszpenzióhoz</w:t>
      </w:r>
    </w:p>
    <w:p w14:paraId="124D6E9A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F98BFF8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62096582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2.</w:t>
      </w:r>
      <w:r w:rsidRPr="00831917">
        <w:rPr>
          <w:b/>
          <w:szCs w:val="22"/>
        </w:rPr>
        <w:tab/>
        <w:t>MINŐSÉGI ÉS MENNYISÉGI ÖSSZETÉTEL</w:t>
      </w:r>
    </w:p>
    <w:p w14:paraId="1D8812F5" w14:textId="77777777" w:rsidR="005644C0" w:rsidRPr="00831917" w:rsidRDefault="005644C0" w:rsidP="00831917">
      <w:pPr>
        <w:keepNext/>
        <w:spacing w:line="240" w:lineRule="auto"/>
        <w:ind w:left="567" w:hanging="567"/>
        <w:rPr>
          <w:noProof/>
          <w:szCs w:val="22"/>
        </w:rPr>
      </w:pPr>
    </w:p>
    <w:p w14:paraId="084BF59B" w14:textId="77777777" w:rsidR="005644C0" w:rsidRPr="00697381" w:rsidRDefault="005644C0" w:rsidP="00831917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125 mg filmtabletta</w:t>
      </w:r>
    </w:p>
    <w:p w14:paraId="651A026A" w14:textId="637309E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125 mg cefuroxim</w:t>
      </w:r>
      <w:r w:rsidR="005E7B58">
        <w:rPr>
          <w:szCs w:val="22"/>
        </w:rPr>
        <w:t>ot tartalmaz</w:t>
      </w:r>
      <w:r w:rsidRPr="00831917">
        <w:rPr>
          <w:szCs w:val="22"/>
        </w:rPr>
        <w:t xml:space="preserve"> (cefuroxim-axetil formájában) filmtablettánként.</w:t>
      </w:r>
    </w:p>
    <w:p w14:paraId="31DB84CF" w14:textId="77777777" w:rsidR="005644C0" w:rsidRPr="00831917" w:rsidRDefault="005644C0" w:rsidP="00831917">
      <w:pPr>
        <w:spacing w:line="240" w:lineRule="auto"/>
        <w:rPr>
          <w:b/>
          <w:szCs w:val="22"/>
        </w:rPr>
      </w:pPr>
    </w:p>
    <w:p w14:paraId="4D82CD0B" w14:textId="77777777" w:rsidR="005644C0" w:rsidRPr="00697381" w:rsidRDefault="005644C0" w:rsidP="00831917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250 mg filmtabletta</w:t>
      </w:r>
    </w:p>
    <w:p w14:paraId="2E0102A7" w14:textId="56F36ACF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250 mg cefuroxim</w:t>
      </w:r>
      <w:r w:rsidR="005E7B58">
        <w:rPr>
          <w:szCs w:val="22"/>
        </w:rPr>
        <w:t>ot tartalmaz</w:t>
      </w:r>
      <w:r w:rsidRPr="00831917">
        <w:rPr>
          <w:szCs w:val="22"/>
        </w:rPr>
        <w:t xml:space="preserve"> (cefuroxim-axetil formájában) filmtablettánként.</w:t>
      </w:r>
    </w:p>
    <w:p w14:paraId="77CF8A78" w14:textId="77777777" w:rsidR="005644C0" w:rsidRPr="00831917" w:rsidRDefault="005644C0" w:rsidP="00831917">
      <w:pPr>
        <w:spacing w:line="240" w:lineRule="auto"/>
        <w:rPr>
          <w:b/>
          <w:szCs w:val="22"/>
        </w:rPr>
      </w:pPr>
    </w:p>
    <w:p w14:paraId="70001A92" w14:textId="77777777" w:rsidR="005644C0" w:rsidRPr="00697381" w:rsidRDefault="005644C0" w:rsidP="00831917">
      <w:pPr>
        <w:pStyle w:val="WW-Szvegtrzs3"/>
        <w:rPr>
          <w:szCs w:val="22"/>
          <w:u w:val="single"/>
        </w:rPr>
      </w:pPr>
      <w:r w:rsidRPr="00697381">
        <w:rPr>
          <w:szCs w:val="22"/>
          <w:u w:val="single"/>
        </w:rPr>
        <w:t>Zinnat 500 mg filmtabletta</w:t>
      </w:r>
    </w:p>
    <w:p w14:paraId="4F085257" w14:textId="2705C2BF" w:rsidR="005644C0" w:rsidRPr="00831917" w:rsidRDefault="005644C0" w:rsidP="00831917">
      <w:pPr>
        <w:pStyle w:val="WW-Szvegtrzs3"/>
        <w:rPr>
          <w:szCs w:val="22"/>
        </w:rPr>
      </w:pPr>
      <w:r w:rsidRPr="00831917">
        <w:rPr>
          <w:szCs w:val="22"/>
        </w:rPr>
        <w:t>500 mg cefuroxim</w:t>
      </w:r>
      <w:r w:rsidR="005E7B58">
        <w:rPr>
          <w:szCs w:val="22"/>
        </w:rPr>
        <w:t>ot</w:t>
      </w:r>
      <w:r w:rsidR="005E7B58" w:rsidRPr="005E7B58">
        <w:rPr>
          <w:szCs w:val="22"/>
        </w:rPr>
        <w:t xml:space="preserve"> </w:t>
      </w:r>
      <w:r w:rsidR="005E7B58">
        <w:rPr>
          <w:szCs w:val="22"/>
        </w:rPr>
        <w:t>tartalmaz</w:t>
      </w:r>
      <w:r w:rsidRPr="00831917">
        <w:rPr>
          <w:szCs w:val="22"/>
        </w:rPr>
        <w:t xml:space="preserve"> (cefuroxim-axetil formájában) filmtablettánként.</w:t>
      </w:r>
    </w:p>
    <w:p w14:paraId="0D4BC4D3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2ECA97BD" w14:textId="6D607E26" w:rsidR="005644C0" w:rsidRPr="00697381" w:rsidRDefault="005644C0" w:rsidP="00831917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 xml:space="preserve">Zinnat 125 mg/5 ml </w:t>
      </w:r>
      <w:r w:rsidR="008C04A0" w:rsidRPr="008C04A0">
        <w:rPr>
          <w:szCs w:val="22"/>
          <w:u w:val="single"/>
        </w:rPr>
        <w:t>granulátum belsőleges szuszpenzióhoz</w:t>
      </w:r>
    </w:p>
    <w:p w14:paraId="2D2BF345" w14:textId="631C297F" w:rsidR="005644C0" w:rsidRPr="00831917" w:rsidRDefault="005E7B58" w:rsidP="00831917">
      <w:pPr>
        <w:pStyle w:val="WW-Szvegtrzs3"/>
        <w:rPr>
          <w:szCs w:val="22"/>
        </w:rPr>
      </w:pPr>
      <w:r>
        <w:rPr>
          <w:szCs w:val="22"/>
        </w:rPr>
        <w:t xml:space="preserve">Az elkészített szuszpenzió </w:t>
      </w:r>
      <w:r w:rsidR="005644C0" w:rsidRPr="00831917">
        <w:rPr>
          <w:szCs w:val="22"/>
        </w:rPr>
        <w:t>125 mg cefuroxim</w:t>
      </w:r>
      <w:r>
        <w:rPr>
          <w:szCs w:val="22"/>
        </w:rPr>
        <w:t>ot</w:t>
      </w:r>
      <w:r w:rsidRPr="005E7B58">
        <w:rPr>
          <w:szCs w:val="22"/>
        </w:rPr>
        <w:t xml:space="preserve"> </w:t>
      </w:r>
      <w:r>
        <w:rPr>
          <w:szCs w:val="22"/>
        </w:rPr>
        <w:t>tartalmaz</w:t>
      </w:r>
      <w:r w:rsidR="005644C0" w:rsidRPr="00831917">
        <w:rPr>
          <w:szCs w:val="22"/>
        </w:rPr>
        <w:t xml:space="preserve"> (150 mg cefuroxim</w:t>
      </w:r>
      <w:r w:rsidR="00322158" w:rsidRPr="00831917">
        <w:rPr>
          <w:szCs w:val="22"/>
        </w:rPr>
        <w:t>-</w:t>
      </w:r>
      <w:r w:rsidR="005644C0" w:rsidRPr="00831917">
        <w:rPr>
          <w:szCs w:val="22"/>
        </w:rPr>
        <w:t>axetil</w:t>
      </w:r>
      <w:r w:rsidR="00322158" w:rsidRPr="00831917">
        <w:rPr>
          <w:szCs w:val="22"/>
        </w:rPr>
        <w:t xml:space="preserve"> </w:t>
      </w:r>
      <w:r w:rsidR="005644C0" w:rsidRPr="00831917">
        <w:rPr>
          <w:szCs w:val="22"/>
        </w:rPr>
        <w:t>formájában) 5</w:t>
      </w:r>
      <w:r>
        <w:rPr>
          <w:szCs w:val="22"/>
        </w:rPr>
        <w:t> </w:t>
      </w:r>
      <w:r w:rsidR="005644C0" w:rsidRPr="00831917">
        <w:rPr>
          <w:szCs w:val="22"/>
        </w:rPr>
        <w:t>ml</w:t>
      </w:r>
      <w:r w:rsidR="00445412">
        <w:rPr>
          <w:szCs w:val="22"/>
        </w:rPr>
        <w:noBreakHyphen/>
        <w:t>enként</w:t>
      </w:r>
      <w:r w:rsidR="005644C0" w:rsidRPr="00831917">
        <w:rPr>
          <w:szCs w:val="22"/>
        </w:rPr>
        <w:t>.</w:t>
      </w:r>
    </w:p>
    <w:p w14:paraId="0A206E18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92C41E6" w14:textId="77777777" w:rsidR="00DC34A3" w:rsidRPr="00831917" w:rsidRDefault="00DC34A3" w:rsidP="00831917">
      <w:pPr>
        <w:spacing w:line="240" w:lineRule="auto"/>
        <w:rPr>
          <w:szCs w:val="22"/>
          <w:u w:val="single"/>
        </w:rPr>
      </w:pPr>
      <w:r w:rsidRPr="00831917">
        <w:rPr>
          <w:szCs w:val="22"/>
          <w:u w:val="single"/>
        </w:rPr>
        <w:t>Ismert hatású segédanyagok:</w:t>
      </w:r>
    </w:p>
    <w:p w14:paraId="7FB8147F" w14:textId="5337E35C" w:rsidR="00491D43" w:rsidRDefault="009F217E" w:rsidP="00831917">
      <w:pPr>
        <w:keepNext/>
        <w:spacing w:line="240" w:lineRule="auto"/>
        <w:rPr>
          <w:noProof/>
          <w:szCs w:val="22"/>
        </w:rPr>
      </w:pPr>
      <w:r w:rsidRPr="00FF2B0D">
        <w:rPr>
          <w:i/>
          <w:noProof/>
          <w:szCs w:val="22"/>
        </w:rPr>
        <w:t xml:space="preserve">Zinnat </w:t>
      </w:r>
      <w:r w:rsidR="00DC34A3" w:rsidRPr="00FF2B0D">
        <w:rPr>
          <w:i/>
          <w:noProof/>
          <w:szCs w:val="22"/>
        </w:rPr>
        <w:t>125 mg filmtablett</w:t>
      </w:r>
      <w:r w:rsidR="00263FA6">
        <w:rPr>
          <w:i/>
          <w:noProof/>
          <w:szCs w:val="22"/>
        </w:rPr>
        <w:t>a</w:t>
      </w:r>
    </w:p>
    <w:p w14:paraId="692CC172" w14:textId="455F992B" w:rsidR="00942B33" w:rsidRDefault="00942B33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>0,00152 mg nátrium-benzoát</w:t>
      </w:r>
      <w:r w:rsidR="005E7B58">
        <w:rPr>
          <w:szCs w:val="22"/>
        </w:rPr>
        <w:t>ot</w:t>
      </w:r>
      <w:r w:rsidR="005E7B58" w:rsidRPr="005E7B58">
        <w:rPr>
          <w:szCs w:val="22"/>
        </w:rPr>
        <w:t xml:space="preserve"> </w:t>
      </w:r>
      <w:r w:rsidR="001F72AD">
        <w:rPr>
          <w:noProof/>
          <w:szCs w:val="22"/>
        </w:rPr>
        <w:t xml:space="preserve">(E211) </w:t>
      </w:r>
      <w:r w:rsidR="005E3E1E">
        <w:rPr>
          <w:szCs w:val="22"/>
        </w:rPr>
        <w:t>tartalmaz</w:t>
      </w:r>
      <w:r w:rsidR="005E3E1E">
        <w:rPr>
          <w:noProof/>
          <w:szCs w:val="22"/>
        </w:rPr>
        <w:t xml:space="preserve"> </w:t>
      </w:r>
      <w:r w:rsidR="001F72AD">
        <w:rPr>
          <w:noProof/>
          <w:szCs w:val="22"/>
        </w:rPr>
        <w:t>tablettánként.</w:t>
      </w:r>
    </w:p>
    <w:p w14:paraId="6E6E836F" w14:textId="77777777" w:rsidR="00D072D0" w:rsidRPr="00831917" w:rsidRDefault="00D072D0" w:rsidP="00831917">
      <w:pPr>
        <w:keepNext/>
        <w:spacing w:line="240" w:lineRule="auto"/>
        <w:rPr>
          <w:noProof/>
          <w:szCs w:val="22"/>
        </w:rPr>
      </w:pPr>
    </w:p>
    <w:p w14:paraId="559299DB" w14:textId="34F6F7E0" w:rsidR="00491D43" w:rsidRDefault="009F217E" w:rsidP="00831917">
      <w:pPr>
        <w:keepNext/>
        <w:spacing w:line="240" w:lineRule="auto"/>
        <w:rPr>
          <w:noProof/>
          <w:szCs w:val="22"/>
        </w:rPr>
      </w:pPr>
      <w:r w:rsidRPr="00FF2B0D">
        <w:rPr>
          <w:i/>
          <w:noProof/>
          <w:szCs w:val="22"/>
        </w:rPr>
        <w:t xml:space="preserve">Zinnat </w:t>
      </w:r>
      <w:r w:rsidR="00DC34A3" w:rsidRPr="00FF2B0D">
        <w:rPr>
          <w:i/>
          <w:noProof/>
          <w:szCs w:val="22"/>
        </w:rPr>
        <w:t>25</w:t>
      </w:r>
      <w:r w:rsidR="001A6C6C" w:rsidRPr="00FF2B0D">
        <w:rPr>
          <w:i/>
          <w:noProof/>
          <w:szCs w:val="22"/>
        </w:rPr>
        <w:t>0</w:t>
      </w:r>
      <w:r w:rsidR="00DC34A3" w:rsidRPr="00FF2B0D">
        <w:rPr>
          <w:i/>
          <w:noProof/>
          <w:szCs w:val="22"/>
        </w:rPr>
        <w:t> mg filmtabletta</w:t>
      </w:r>
    </w:p>
    <w:p w14:paraId="555B3122" w14:textId="673BDEAD" w:rsidR="00C80754" w:rsidRDefault="00C80754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>0,00203 mg nátrium</w:t>
      </w:r>
      <w:r>
        <w:rPr>
          <w:noProof/>
          <w:szCs w:val="22"/>
        </w:rPr>
        <w:noBreakHyphen/>
        <w:t>benzoát</w:t>
      </w:r>
      <w:r w:rsidR="005E7B58">
        <w:rPr>
          <w:szCs w:val="22"/>
        </w:rPr>
        <w:t>ot</w:t>
      </w:r>
      <w:r w:rsidR="005E7B58" w:rsidRPr="005E7B58">
        <w:rPr>
          <w:szCs w:val="22"/>
        </w:rPr>
        <w:t xml:space="preserve"> </w:t>
      </w:r>
      <w:r w:rsidR="00F318ED">
        <w:rPr>
          <w:noProof/>
          <w:szCs w:val="22"/>
        </w:rPr>
        <w:t>(E211)</w:t>
      </w:r>
      <w:r w:rsidR="005E3E1E" w:rsidRPr="005E3E1E">
        <w:rPr>
          <w:szCs w:val="22"/>
        </w:rPr>
        <w:t xml:space="preserve"> </w:t>
      </w:r>
      <w:r w:rsidR="005E3E1E">
        <w:rPr>
          <w:szCs w:val="22"/>
        </w:rPr>
        <w:t>tartalmaz</w:t>
      </w:r>
      <w:r w:rsidR="00F318ED">
        <w:rPr>
          <w:noProof/>
          <w:szCs w:val="22"/>
        </w:rPr>
        <w:t xml:space="preserve"> </w:t>
      </w:r>
      <w:r w:rsidR="001F72AD">
        <w:rPr>
          <w:noProof/>
          <w:szCs w:val="22"/>
        </w:rPr>
        <w:t>tablettánként.</w:t>
      </w:r>
      <w:r>
        <w:rPr>
          <w:noProof/>
          <w:szCs w:val="22"/>
        </w:rPr>
        <w:t xml:space="preserve"> </w:t>
      </w:r>
    </w:p>
    <w:p w14:paraId="768D26E1" w14:textId="77777777" w:rsidR="00D072D0" w:rsidRPr="00831917" w:rsidRDefault="00D072D0" w:rsidP="00831917">
      <w:pPr>
        <w:keepNext/>
        <w:spacing w:line="240" w:lineRule="auto"/>
        <w:rPr>
          <w:noProof/>
          <w:szCs w:val="22"/>
        </w:rPr>
      </w:pPr>
    </w:p>
    <w:p w14:paraId="2CA3B02A" w14:textId="66D42D64" w:rsidR="00484B19" w:rsidRDefault="009F217E" w:rsidP="00831917">
      <w:pPr>
        <w:keepNext/>
        <w:spacing w:line="240" w:lineRule="auto"/>
        <w:rPr>
          <w:noProof/>
          <w:szCs w:val="22"/>
        </w:rPr>
      </w:pPr>
      <w:r w:rsidRPr="00FF2B0D">
        <w:rPr>
          <w:i/>
          <w:noProof/>
          <w:szCs w:val="22"/>
        </w:rPr>
        <w:t xml:space="preserve">Zinnat </w:t>
      </w:r>
      <w:r w:rsidR="001A6C6C" w:rsidRPr="00FF2B0D">
        <w:rPr>
          <w:i/>
          <w:noProof/>
          <w:szCs w:val="22"/>
        </w:rPr>
        <w:t>500 mg filmtabletta</w:t>
      </w:r>
    </w:p>
    <w:p w14:paraId="30BC56EF" w14:textId="43E95AB4" w:rsidR="00484B19" w:rsidRDefault="00F318ED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>0,00506 mg nátrium</w:t>
      </w:r>
      <w:r>
        <w:rPr>
          <w:noProof/>
          <w:szCs w:val="22"/>
        </w:rPr>
        <w:noBreakHyphen/>
        <w:t>benzoát</w:t>
      </w:r>
      <w:r w:rsidR="005E7B58">
        <w:rPr>
          <w:szCs w:val="22"/>
        </w:rPr>
        <w:t>ot</w:t>
      </w:r>
      <w:r w:rsidR="005E7B58" w:rsidRPr="005E7B58">
        <w:rPr>
          <w:szCs w:val="22"/>
        </w:rPr>
        <w:t xml:space="preserve"> </w:t>
      </w:r>
      <w:r w:rsidR="005E7B58">
        <w:rPr>
          <w:szCs w:val="22"/>
        </w:rPr>
        <w:t>tartalmaz</w:t>
      </w:r>
      <w:r>
        <w:rPr>
          <w:noProof/>
          <w:szCs w:val="22"/>
        </w:rPr>
        <w:t xml:space="preserve"> (E211) </w:t>
      </w:r>
      <w:r w:rsidR="00484B19">
        <w:rPr>
          <w:noProof/>
          <w:szCs w:val="22"/>
        </w:rPr>
        <w:t>tablettánként.</w:t>
      </w:r>
    </w:p>
    <w:p w14:paraId="61698A3F" w14:textId="77777777" w:rsidR="00D072D0" w:rsidRPr="00831917" w:rsidRDefault="00D072D0" w:rsidP="00831917">
      <w:pPr>
        <w:keepNext/>
        <w:spacing w:line="240" w:lineRule="auto"/>
        <w:rPr>
          <w:noProof/>
          <w:szCs w:val="22"/>
        </w:rPr>
      </w:pPr>
    </w:p>
    <w:p w14:paraId="738ECC97" w14:textId="0DEA8BFB" w:rsidR="00484B19" w:rsidRDefault="009F217E" w:rsidP="00831917">
      <w:pPr>
        <w:spacing w:line="240" w:lineRule="auto"/>
        <w:rPr>
          <w:szCs w:val="22"/>
        </w:rPr>
      </w:pPr>
      <w:r w:rsidRPr="00FF2B0D">
        <w:rPr>
          <w:i/>
          <w:szCs w:val="22"/>
        </w:rPr>
        <w:t xml:space="preserve">Zinnat </w:t>
      </w:r>
      <w:r w:rsidR="001A6C6C" w:rsidRPr="00FF2B0D">
        <w:rPr>
          <w:i/>
          <w:szCs w:val="22"/>
        </w:rPr>
        <w:t>125 mg/5</w:t>
      </w:r>
      <w:r w:rsidR="00DA0118" w:rsidRPr="00FF2B0D">
        <w:rPr>
          <w:i/>
          <w:szCs w:val="22"/>
        </w:rPr>
        <w:t> </w:t>
      </w:r>
      <w:r w:rsidR="001A6C6C" w:rsidRPr="00FF2B0D">
        <w:rPr>
          <w:i/>
          <w:szCs w:val="22"/>
        </w:rPr>
        <w:t xml:space="preserve">ml </w:t>
      </w:r>
      <w:r w:rsidR="00330B00">
        <w:rPr>
          <w:i/>
          <w:szCs w:val="22"/>
        </w:rPr>
        <w:t xml:space="preserve">granulátum belsőleges </w:t>
      </w:r>
      <w:r w:rsidR="001A6C6C" w:rsidRPr="00FF2B0D">
        <w:rPr>
          <w:i/>
          <w:szCs w:val="22"/>
        </w:rPr>
        <w:t>szuszpenzió</w:t>
      </w:r>
      <w:r w:rsidR="00330B00">
        <w:rPr>
          <w:i/>
          <w:szCs w:val="22"/>
        </w:rPr>
        <w:t>hoz</w:t>
      </w:r>
    </w:p>
    <w:p w14:paraId="4DF3A995" w14:textId="6EFD9DC4" w:rsidR="00C84D40" w:rsidRDefault="00C84D40" w:rsidP="00831917">
      <w:pPr>
        <w:spacing w:line="240" w:lineRule="auto"/>
        <w:rPr>
          <w:szCs w:val="22"/>
        </w:rPr>
      </w:pPr>
      <w:r>
        <w:rPr>
          <w:szCs w:val="22"/>
        </w:rPr>
        <w:t>0,021 g aszpartámot (E951) tartalmaz 5 ml-es adag</w:t>
      </w:r>
      <w:r w:rsidR="00703319">
        <w:rPr>
          <w:szCs w:val="22"/>
        </w:rPr>
        <w:t>onként</w:t>
      </w:r>
      <w:r>
        <w:rPr>
          <w:szCs w:val="22"/>
        </w:rPr>
        <w:t xml:space="preserve">. </w:t>
      </w:r>
    </w:p>
    <w:p w14:paraId="6B714B72" w14:textId="36DF8B66" w:rsidR="00C84D40" w:rsidRDefault="00C84D40" w:rsidP="00C84D40">
      <w:pPr>
        <w:spacing w:line="240" w:lineRule="auto"/>
        <w:rPr>
          <w:szCs w:val="22"/>
        </w:rPr>
      </w:pPr>
      <w:r>
        <w:rPr>
          <w:szCs w:val="22"/>
        </w:rPr>
        <w:t>3,1 g szacharózt tartalmaz 5 ml-es adag</w:t>
      </w:r>
      <w:r w:rsidR="00703319">
        <w:rPr>
          <w:szCs w:val="22"/>
        </w:rPr>
        <w:t>onként</w:t>
      </w:r>
      <w:r>
        <w:rPr>
          <w:szCs w:val="22"/>
        </w:rPr>
        <w:t>.</w:t>
      </w:r>
    </w:p>
    <w:p w14:paraId="36CDAF50" w14:textId="46C4250D" w:rsidR="00C84D40" w:rsidRDefault="00BE57B9" w:rsidP="00C84D40">
      <w:pPr>
        <w:spacing w:line="240" w:lineRule="auto"/>
        <w:rPr>
          <w:szCs w:val="22"/>
        </w:rPr>
      </w:pPr>
      <w:r>
        <w:rPr>
          <w:szCs w:val="22"/>
        </w:rPr>
        <w:t>6 mg propilénglik</w:t>
      </w:r>
      <w:r w:rsidR="00C84D40">
        <w:rPr>
          <w:szCs w:val="22"/>
        </w:rPr>
        <w:t>olt (E1520) tartalmaz 5 ml-es adag</w:t>
      </w:r>
      <w:r w:rsidR="00703319">
        <w:rPr>
          <w:szCs w:val="22"/>
        </w:rPr>
        <w:t>onként</w:t>
      </w:r>
      <w:r w:rsidR="00C84D40">
        <w:rPr>
          <w:szCs w:val="22"/>
        </w:rPr>
        <w:t>.</w:t>
      </w:r>
    </w:p>
    <w:p w14:paraId="0490A26F" w14:textId="6DCE3AC9" w:rsidR="00C84D40" w:rsidRDefault="00C84D40" w:rsidP="00C84D40">
      <w:pPr>
        <w:spacing w:line="240" w:lineRule="auto"/>
        <w:rPr>
          <w:szCs w:val="22"/>
        </w:rPr>
      </w:pPr>
      <w:r>
        <w:rPr>
          <w:szCs w:val="22"/>
        </w:rPr>
        <w:t>4,5 mg benzil</w:t>
      </w:r>
      <w:r>
        <w:rPr>
          <w:szCs w:val="22"/>
        </w:rPr>
        <w:noBreakHyphen/>
        <w:t>alkoholt (E519) tartalmaz 5 ml-es adag</w:t>
      </w:r>
      <w:r w:rsidR="00703319">
        <w:rPr>
          <w:szCs w:val="22"/>
        </w:rPr>
        <w:t>onként</w:t>
      </w:r>
      <w:r>
        <w:rPr>
          <w:szCs w:val="22"/>
        </w:rPr>
        <w:t xml:space="preserve">. </w:t>
      </w:r>
    </w:p>
    <w:p w14:paraId="3A54E9AB" w14:textId="77777777" w:rsidR="001A6C6C" w:rsidRPr="00831917" w:rsidRDefault="001A6C6C" w:rsidP="00831917">
      <w:pPr>
        <w:spacing w:line="240" w:lineRule="auto"/>
        <w:rPr>
          <w:szCs w:val="22"/>
        </w:rPr>
      </w:pPr>
    </w:p>
    <w:p w14:paraId="66951EA9" w14:textId="77777777" w:rsidR="005644C0" w:rsidRPr="00831917" w:rsidRDefault="005644C0" w:rsidP="00831917">
      <w:pPr>
        <w:pStyle w:val="Szvegtrzs"/>
        <w:tabs>
          <w:tab w:val="left" w:pos="708"/>
        </w:tabs>
        <w:ind w:left="567" w:hanging="567"/>
        <w:rPr>
          <w:sz w:val="22"/>
          <w:szCs w:val="22"/>
          <w:lang w:val="hu-HU"/>
        </w:rPr>
      </w:pPr>
      <w:r w:rsidRPr="00831917">
        <w:rPr>
          <w:sz w:val="22"/>
          <w:szCs w:val="22"/>
          <w:lang w:val="hu-HU"/>
        </w:rPr>
        <w:t>A segédanyagok teljes listáját lásd a 6.1</w:t>
      </w:r>
      <w:r w:rsidR="00DA0118" w:rsidRPr="00831917">
        <w:rPr>
          <w:sz w:val="22"/>
          <w:szCs w:val="22"/>
          <w:lang w:val="hu-HU"/>
        </w:rPr>
        <w:t> </w:t>
      </w:r>
      <w:r w:rsidRPr="00831917">
        <w:rPr>
          <w:sz w:val="22"/>
          <w:szCs w:val="22"/>
          <w:lang w:val="hu-HU"/>
        </w:rPr>
        <w:t>pontban.</w:t>
      </w:r>
    </w:p>
    <w:p w14:paraId="01C6158F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2735D276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56D7C598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3.</w:t>
      </w:r>
      <w:r w:rsidRPr="00831917">
        <w:rPr>
          <w:b/>
          <w:szCs w:val="22"/>
        </w:rPr>
        <w:tab/>
        <w:t>GYÓGYSZERFORMA</w:t>
      </w:r>
    </w:p>
    <w:p w14:paraId="2EC44910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212468F5" w14:textId="5D0544A8" w:rsidR="00A62ED3" w:rsidRPr="00697381" w:rsidRDefault="005644C0" w:rsidP="00CF6B6C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125</w:t>
      </w:r>
      <w:r w:rsidR="00A46442" w:rsidRPr="00697381">
        <w:rPr>
          <w:szCs w:val="22"/>
          <w:u w:val="single"/>
        </w:rPr>
        <w:t> </w:t>
      </w:r>
      <w:r w:rsidRPr="00697381">
        <w:rPr>
          <w:szCs w:val="22"/>
          <w:u w:val="single"/>
        </w:rPr>
        <w:t>mg</w:t>
      </w:r>
      <w:r w:rsidR="00A62ED3" w:rsidRPr="00697381">
        <w:rPr>
          <w:szCs w:val="22"/>
          <w:u w:val="single"/>
        </w:rPr>
        <w:t xml:space="preserve"> filmtabletta</w:t>
      </w:r>
    </w:p>
    <w:p w14:paraId="4B7D110E" w14:textId="3C91F682" w:rsidR="00A62ED3" w:rsidRPr="004B6172" w:rsidRDefault="00A62ED3" w:rsidP="00A62ED3">
      <w:pPr>
        <w:tabs>
          <w:tab w:val="decimal" w:pos="7938"/>
        </w:tabs>
        <w:rPr>
          <w:szCs w:val="24"/>
        </w:rPr>
      </w:pPr>
      <w:r w:rsidRPr="00EA3F35">
        <w:rPr>
          <w:szCs w:val="24"/>
        </w:rPr>
        <w:t>Fehér vagy csaknem fehér</w:t>
      </w:r>
      <w:r w:rsidRPr="00330765">
        <w:rPr>
          <w:szCs w:val="24"/>
        </w:rPr>
        <w:t>,</w:t>
      </w:r>
      <w:r w:rsidRPr="00EA3F35">
        <w:rPr>
          <w:szCs w:val="24"/>
        </w:rPr>
        <w:t xml:space="preserve"> kapszula alakú, mindkét oldalán domború felületű filmbevonatú tabletta,</w:t>
      </w:r>
      <w:r w:rsidRPr="004B6172">
        <w:rPr>
          <w:szCs w:val="24"/>
        </w:rPr>
        <w:t xml:space="preserve"> egyik oldala </w:t>
      </w:r>
      <w:r w:rsidRPr="00CF6B6C">
        <w:rPr>
          <w:szCs w:val="24"/>
        </w:rPr>
        <w:t>sima, másik oldala</w:t>
      </w:r>
      <w:r w:rsidRPr="004B6172">
        <w:rPr>
          <w:szCs w:val="24"/>
        </w:rPr>
        <w:t xml:space="preserve"> „GX</w:t>
      </w:r>
      <w:r w:rsidR="003D2AE1">
        <w:rPr>
          <w:szCs w:val="24"/>
        </w:rPr>
        <w:t> </w:t>
      </w:r>
      <w:r w:rsidRPr="004B6172">
        <w:rPr>
          <w:szCs w:val="24"/>
        </w:rPr>
        <w:t xml:space="preserve">ES5” jelöléssel </w:t>
      </w:r>
      <w:r w:rsidRPr="00CF6B6C">
        <w:rPr>
          <w:szCs w:val="24"/>
        </w:rPr>
        <w:t>van ellátva</w:t>
      </w:r>
      <w:r w:rsidRPr="004B6172">
        <w:rPr>
          <w:szCs w:val="24"/>
        </w:rPr>
        <w:t>.</w:t>
      </w:r>
    </w:p>
    <w:p w14:paraId="66376756" w14:textId="7B308C5B" w:rsidR="00955FEC" w:rsidRPr="007A132C" w:rsidRDefault="00955FEC" w:rsidP="00955FEC">
      <w:pPr>
        <w:tabs>
          <w:tab w:val="left" w:pos="1276"/>
          <w:tab w:val="left" w:pos="4962"/>
          <w:tab w:val="decimal" w:pos="7938"/>
        </w:tabs>
        <w:rPr>
          <w:szCs w:val="24"/>
        </w:rPr>
      </w:pPr>
      <w:r w:rsidRPr="008D666A">
        <w:rPr>
          <w:szCs w:val="24"/>
        </w:rPr>
        <w:t xml:space="preserve">Hosszúság: kb. </w:t>
      </w:r>
      <w:smartTag w:uri="urn:schemas-microsoft-com:office:smarttags" w:element="metricconverter">
        <w:smartTagPr>
          <w:attr w:name="ProductID" w:val="4 mm"/>
        </w:smartTagPr>
        <w:r w:rsidRPr="008D666A">
          <w:rPr>
            <w:szCs w:val="24"/>
          </w:rPr>
          <w:t>12 mm</w:t>
        </w:r>
        <w:r>
          <w:rPr>
            <w:szCs w:val="24"/>
          </w:rPr>
          <w:t>,</w:t>
        </w:r>
      </w:smartTag>
      <w:r>
        <w:rPr>
          <w:szCs w:val="24"/>
        </w:rPr>
        <w:t xml:space="preserve"> s</w:t>
      </w:r>
      <w:r w:rsidRPr="008D666A">
        <w:rPr>
          <w:szCs w:val="24"/>
        </w:rPr>
        <w:t xml:space="preserve">zélesség: kb. </w:t>
      </w:r>
      <w:smartTag w:uri="urn:schemas-microsoft-com:office:smarttags" w:element="metricconverter">
        <w:smartTagPr>
          <w:attr w:name="ProductID" w:val="4 mm"/>
        </w:smartTagPr>
        <w:r w:rsidRPr="008D666A">
          <w:rPr>
            <w:szCs w:val="24"/>
          </w:rPr>
          <w:t>5,1 mm</w:t>
        </w:r>
      </w:smartTag>
      <w:r>
        <w:rPr>
          <w:szCs w:val="24"/>
        </w:rPr>
        <w:t>, m</w:t>
      </w:r>
      <w:r w:rsidRPr="008D666A">
        <w:rPr>
          <w:szCs w:val="24"/>
        </w:rPr>
        <w:t>agasság: kb.</w:t>
      </w:r>
      <w:r w:rsidR="00EA3F35">
        <w:rPr>
          <w:szCs w:val="24"/>
        </w:rPr>
        <w:t xml:space="preserve"> </w:t>
      </w:r>
      <w:r w:rsidRPr="008D666A">
        <w:rPr>
          <w:szCs w:val="24"/>
        </w:rPr>
        <w:t>4 mm</w:t>
      </w:r>
      <w:r w:rsidR="00EA3F35">
        <w:rPr>
          <w:szCs w:val="24"/>
        </w:rPr>
        <w:t>.</w:t>
      </w:r>
    </w:p>
    <w:p w14:paraId="3C2084F9" w14:textId="77777777" w:rsidR="00E40CA4" w:rsidRDefault="00E40CA4" w:rsidP="00CF6B6C">
      <w:pPr>
        <w:spacing w:line="240" w:lineRule="auto"/>
        <w:rPr>
          <w:szCs w:val="22"/>
        </w:rPr>
      </w:pPr>
    </w:p>
    <w:p w14:paraId="4976EA16" w14:textId="0D6AEA5B" w:rsidR="005644C0" w:rsidRPr="00697381" w:rsidRDefault="000228EF" w:rsidP="00CF6B6C">
      <w:pPr>
        <w:spacing w:line="240" w:lineRule="auto"/>
        <w:rPr>
          <w:u w:val="single"/>
        </w:rPr>
      </w:pPr>
      <w:r w:rsidRPr="00697381">
        <w:rPr>
          <w:u w:val="single"/>
        </w:rPr>
        <w:t xml:space="preserve">Zinnat </w:t>
      </w:r>
      <w:r w:rsidR="00B67AA0" w:rsidRPr="00697381">
        <w:rPr>
          <w:u w:val="single"/>
        </w:rPr>
        <w:t>250 mg</w:t>
      </w:r>
      <w:r w:rsidR="005644C0" w:rsidRPr="00697381">
        <w:rPr>
          <w:u w:val="single"/>
        </w:rPr>
        <w:t xml:space="preserve"> filmtabletta</w:t>
      </w:r>
    </w:p>
    <w:p w14:paraId="3D4D2310" w14:textId="17A5C8F8" w:rsidR="00955FEC" w:rsidRPr="004B6172" w:rsidRDefault="00955FEC" w:rsidP="00955FEC">
      <w:pPr>
        <w:tabs>
          <w:tab w:val="decimal" w:pos="7938"/>
        </w:tabs>
        <w:rPr>
          <w:szCs w:val="24"/>
        </w:rPr>
      </w:pPr>
      <w:r w:rsidRPr="00CF6B6C">
        <w:rPr>
          <w:szCs w:val="24"/>
        </w:rPr>
        <w:t>F</w:t>
      </w:r>
      <w:r w:rsidRPr="00983A0C">
        <w:rPr>
          <w:szCs w:val="24"/>
        </w:rPr>
        <w:t xml:space="preserve">ehér </w:t>
      </w:r>
      <w:r w:rsidRPr="00CF6B6C">
        <w:rPr>
          <w:szCs w:val="24"/>
        </w:rPr>
        <w:t>vagy csaknem fehér</w:t>
      </w:r>
      <w:r w:rsidR="00EA3F35">
        <w:rPr>
          <w:szCs w:val="24"/>
        </w:rPr>
        <w:t>,</w:t>
      </w:r>
      <w:r w:rsidRPr="00CF6B6C">
        <w:rPr>
          <w:szCs w:val="24"/>
        </w:rPr>
        <w:t xml:space="preserve"> kapszula alakú</w:t>
      </w:r>
      <w:r w:rsidR="00EA3F35">
        <w:rPr>
          <w:szCs w:val="24"/>
        </w:rPr>
        <w:t>,</w:t>
      </w:r>
      <w:r w:rsidRPr="004B6172">
        <w:rPr>
          <w:szCs w:val="24"/>
        </w:rPr>
        <w:t xml:space="preserve"> </w:t>
      </w:r>
      <w:r w:rsidRPr="00CF6B6C">
        <w:rPr>
          <w:szCs w:val="24"/>
        </w:rPr>
        <w:t xml:space="preserve">mindkét oldalán domború felületű </w:t>
      </w:r>
      <w:r w:rsidRPr="004B6172">
        <w:rPr>
          <w:szCs w:val="24"/>
        </w:rPr>
        <w:t xml:space="preserve">filmbevonatú tabletta, egyik oldalán </w:t>
      </w:r>
      <w:r w:rsidRPr="00CF6B6C">
        <w:rPr>
          <w:szCs w:val="24"/>
        </w:rPr>
        <w:t xml:space="preserve">sima, másik oldalán </w:t>
      </w:r>
      <w:r w:rsidRPr="004B6172">
        <w:rPr>
          <w:szCs w:val="24"/>
        </w:rPr>
        <w:t>„GX</w:t>
      </w:r>
      <w:r w:rsidR="003D2AE1">
        <w:rPr>
          <w:szCs w:val="24"/>
        </w:rPr>
        <w:t> </w:t>
      </w:r>
      <w:r w:rsidRPr="004B6172">
        <w:rPr>
          <w:szCs w:val="24"/>
        </w:rPr>
        <w:t>ES7” jelöléssel.</w:t>
      </w:r>
    </w:p>
    <w:p w14:paraId="47C13621" w14:textId="365CAC01" w:rsidR="00AE34DE" w:rsidRPr="00983A0C" w:rsidRDefault="00955FEC" w:rsidP="00AE34DE">
      <w:pPr>
        <w:tabs>
          <w:tab w:val="left" w:pos="1276"/>
          <w:tab w:val="left" w:pos="4962"/>
          <w:tab w:val="decimal" w:pos="7938"/>
        </w:tabs>
        <w:rPr>
          <w:szCs w:val="24"/>
        </w:rPr>
      </w:pPr>
      <w:r w:rsidRPr="00983A0C">
        <w:rPr>
          <w:szCs w:val="24"/>
        </w:rPr>
        <w:t>Hosszúság:</w:t>
      </w:r>
      <w:r>
        <w:rPr>
          <w:szCs w:val="24"/>
        </w:rPr>
        <w:t xml:space="preserve"> </w:t>
      </w:r>
      <w:r w:rsidRPr="00983A0C">
        <w:rPr>
          <w:szCs w:val="24"/>
        </w:rPr>
        <w:t xml:space="preserve">kb. </w:t>
      </w:r>
      <w:smartTag w:uri="urn:schemas-microsoft-com:office:smarttags" w:element="metricconverter">
        <w:smartTagPr>
          <w:attr w:name="ProductID" w:val="5,4 mm"/>
        </w:smartTagPr>
        <w:r w:rsidRPr="00983A0C">
          <w:rPr>
            <w:szCs w:val="24"/>
          </w:rPr>
          <w:t>15 mm</w:t>
        </w:r>
      </w:smartTag>
      <w:r>
        <w:rPr>
          <w:szCs w:val="24"/>
        </w:rPr>
        <w:t>, s</w:t>
      </w:r>
      <w:r w:rsidRPr="00983A0C">
        <w:rPr>
          <w:szCs w:val="24"/>
        </w:rPr>
        <w:t>zélesség: kb.</w:t>
      </w:r>
      <w:r w:rsidR="00EA3F35">
        <w:rPr>
          <w:szCs w:val="24"/>
        </w:rPr>
        <w:t xml:space="preserve"> </w:t>
      </w:r>
      <w:smartTag w:uri="urn:schemas-microsoft-com:office:smarttags" w:element="metricconverter">
        <w:smartTagPr>
          <w:attr w:name="ProductID" w:val="5,4 mm"/>
        </w:smartTagPr>
        <w:r w:rsidRPr="00983A0C">
          <w:rPr>
            <w:szCs w:val="24"/>
          </w:rPr>
          <w:t>6,6 mm</w:t>
        </w:r>
      </w:smartTag>
      <w:r>
        <w:rPr>
          <w:szCs w:val="24"/>
        </w:rPr>
        <w:t>, m</w:t>
      </w:r>
      <w:r w:rsidRPr="00983A0C">
        <w:rPr>
          <w:szCs w:val="24"/>
        </w:rPr>
        <w:t>agasság: kb.</w:t>
      </w:r>
      <w:r w:rsidR="00EA3F35">
        <w:rPr>
          <w:szCs w:val="24"/>
        </w:rPr>
        <w:t xml:space="preserve"> </w:t>
      </w:r>
      <w:r w:rsidRPr="00983A0C">
        <w:rPr>
          <w:szCs w:val="24"/>
        </w:rPr>
        <w:t>5,4 mm</w:t>
      </w:r>
      <w:r w:rsidR="00EA3F35">
        <w:rPr>
          <w:szCs w:val="24"/>
        </w:rPr>
        <w:t>.</w:t>
      </w:r>
    </w:p>
    <w:p w14:paraId="62B3217F" w14:textId="28F04F36" w:rsidR="00955FEC" w:rsidRDefault="00955FEC" w:rsidP="00CF6B6C">
      <w:pPr>
        <w:spacing w:line="240" w:lineRule="auto"/>
        <w:rPr>
          <w:szCs w:val="22"/>
        </w:rPr>
      </w:pPr>
    </w:p>
    <w:p w14:paraId="18E32152" w14:textId="1ED73115" w:rsidR="000228EF" w:rsidRPr="00697381" w:rsidRDefault="000228EF" w:rsidP="000228EF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500 mg filmtabletta</w:t>
      </w:r>
    </w:p>
    <w:p w14:paraId="7FC923C2" w14:textId="1DAE11F3" w:rsidR="00955FEC" w:rsidRPr="004B6172" w:rsidRDefault="00955FEC" w:rsidP="00955FEC">
      <w:pPr>
        <w:tabs>
          <w:tab w:val="decimal" w:pos="7938"/>
        </w:tabs>
        <w:jc w:val="both"/>
        <w:rPr>
          <w:szCs w:val="24"/>
        </w:rPr>
      </w:pPr>
      <w:r>
        <w:rPr>
          <w:szCs w:val="24"/>
        </w:rPr>
        <w:lastRenderedPageBreak/>
        <w:t>F</w:t>
      </w:r>
      <w:r w:rsidRPr="00467D3D">
        <w:rPr>
          <w:szCs w:val="24"/>
        </w:rPr>
        <w:t xml:space="preserve">ehér </w:t>
      </w:r>
      <w:r w:rsidRPr="00CF6B6C">
        <w:rPr>
          <w:szCs w:val="24"/>
        </w:rPr>
        <w:t>vagy csaknem fehér, kapszula alakú</w:t>
      </w:r>
      <w:r w:rsidR="00EA3F35">
        <w:rPr>
          <w:szCs w:val="24"/>
        </w:rPr>
        <w:t>,</w:t>
      </w:r>
      <w:r w:rsidRPr="00CF6B6C">
        <w:rPr>
          <w:szCs w:val="24"/>
        </w:rPr>
        <w:t xml:space="preserve"> mindkét oldalán domború felületű filmbevonatú</w:t>
      </w:r>
      <w:r w:rsidRPr="004B6172">
        <w:rPr>
          <w:szCs w:val="24"/>
        </w:rPr>
        <w:t xml:space="preserve"> tabletta, egyik oldalán </w:t>
      </w:r>
      <w:r w:rsidRPr="00CF6B6C">
        <w:rPr>
          <w:szCs w:val="24"/>
        </w:rPr>
        <w:t>sima, másik oldalán</w:t>
      </w:r>
      <w:r w:rsidRPr="004B6172">
        <w:rPr>
          <w:szCs w:val="24"/>
        </w:rPr>
        <w:t xml:space="preserve"> „GX</w:t>
      </w:r>
      <w:r w:rsidR="003D2AE1">
        <w:rPr>
          <w:szCs w:val="24"/>
        </w:rPr>
        <w:t> </w:t>
      </w:r>
      <w:r w:rsidRPr="004B6172">
        <w:rPr>
          <w:szCs w:val="24"/>
        </w:rPr>
        <w:t>EG2” jelöléssel.</w:t>
      </w:r>
    </w:p>
    <w:p w14:paraId="5CBC3466" w14:textId="4D29CE17" w:rsidR="00EB4647" w:rsidRPr="00662722" w:rsidRDefault="00EB4647" w:rsidP="00EB4647">
      <w:pPr>
        <w:tabs>
          <w:tab w:val="left" w:pos="1276"/>
          <w:tab w:val="left" w:pos="4962"/>
          <w:tab w:val="decimal" w:pos="7938"/>
        </w:tabs>
        <w:rPr>
          <w:szCs w:val="24"/>
        </w:rPr>
      </w:pPr>
      <w:r w:rsidRPr="00467D3D">
        <w:rPr>
          <w:szCs w:val="24"/>
        </w:rPr>
        <w:t>Hosszúság</w:t>
      </w:r>
      <w:r>
        <w:rPr>
          <w:szCs w:val="24"/>
        </w:rPr>
        <w:t xml:space="preserve">: </w:t>
      </w:r>
      <w:r w:rsidRPr="00662722">
        <w:rPr>
          <w:szCs w:val="24"/>
        </w:rPr>
        <w:t xml:space="preserve">kb. </w:t>
      </w:r>
      <w:smartTag w:uri="urn:schemas-microsoft-com:office:smarttags" w:element="metricconverter">
        <w:smartTagPr>
          <w:attr w:name="ProductID" w:val="6,3 mm"/>
        </w:smartTagPr>
        <w:r w:rsidRPr="00662722">
          <w:rPr>
            <w:szCs w:val="24"/>
          </w:rPr>
          <w:t>19,6 mm</w:t>
        </w:r>
      </w:smartTag>
      <w:r w:rsidR="00EA3F35">
        <w:rPr>
          <w:szCs w:val="24"/>
        </w:rPr>
        <w:t>, s</w:t>
      </w:r>
      <w:r w:rsidRPr="00662722">
        <w:rPr>
          <w:szCs w:val="24"/>
        </w:rPr>
        <w:t xml:space="preserve">zélesség: </w:t>
      </w:r>
      <w:r>
        <w:rPr>
          <w:szCs w:val="24"/>
        </w:rPr>
        <w:t>kb.</w:t>
      </w:r>
      <w:r w:rsidR="00EA3F35">
        <w:rPr>
          <w:szCs w:val="24"/>
        </w:rPr>
        <w:t xml:space="preserve"> </w:t>
      </w:r>
      <w:smartTag w:uri="urn:schemas-microsoft-com:office:smarttags" w:element="metricconverter">
        <w:smartTagPr>
          <w:attr w:name="ProductID" w:val="6,3 mm"/>
        </w:smartTagPr>
        <w:r w:rsidRPr="00662722">
          <w:rPr>
            <w:szCs w:val="24"/>
          </w:rPr>
          <w:t>8,3 mm</w:t>
        </w:r>
        <w:r w:rsidR="00EA3F35">
          <w:rPr>
            <w:szCs w:val="24"/>
          </w:rPr>
          <w:t>,</w:t>
        </w:r>
      </w:smartTag>
      <w:r>
        <w:rPr>
          <w:szCs w:val="24"/>
        </w:rPr>
        <w:t xml:space="preserve"> </w:t>
      </w:r>
      <w:r w:rsidR="00EA3F35">
        <w:rPr>
          <w:szCs w:val="24"/>
        </w:rPr>
        <w:t>m</w:t>
      </w:r>
      <w:r>
        <w:rPr>
          <w:szCs w:val="24"/>
        </w:rPr>
        <w:t>agasság: kb.</w:t>
      </w:r>
      <w:r w:rsidRPr="00662722">
        <w:rPr>
          <w:szCs w:val="24"/>
        </w:rPr>
        <w:t xml:space="preserve"> </w:t>
      </w:r>
      <w:smartTag w:uri="urn:schemas-microsoft-com:office:smarttags" w:element="metricconverter">
        <w:smartTagPr>
          <w:attr w:name="ProductID" w:val="6,3 mm"/>
        </w:smartTagPr>
        <w:r w:rsidRPr="00662722">
          <w:rPr>
            <w:szCs w:val="24"/>
          </w:rPr>
          <w:t>6,3 mm</w:t>
        </w:r>
        <w:r w:rsidR="00EA3F35">
          <w:rPr>
            <w:szCs w:val="24"/>
          </w:rPr>
          <w:t>.</w:t>
        </w:r>
      </w:smartTag>
    </w:p>
    <w:p w14:paraId="64D44CDE" w14:textId="77777777" w:rsidR="000228EF" w:rsidRPr="004B6172" w:rsidRDefault="000228EF" w:rsidP="00831917">
      <w:pPr>
        <w:keepNext/>
        <w:spacing w:line="240" w:lineRule="auto"/>
        <w:rPr>
          <w:szCs w:val="22"/>
        </w:rPr>
      </w:pPr>
    </w:p>
    <w:p w14:paraId="4BE852B0" w14:textId="77777777" w:rsidR="005644C0" w:rsidRPr="00697381" w:rsidRDefault="00322158" w:rsidP="00831917">
      <w:pPr>
        <w:keepNext/>
        <w:spacing w:line="240" w:lineRule="auto"/>
        <w:rPr>
          <w:szCs w:val="22"/>
          <w:u w:val="single"/>
        </w:rPr>
      </w:pPr>
      <w:r w:rsidRPr="00697381">
        <w:rPr>
          <w:bCs/>
          <w:szCs w:val="22"/>
          <w:u w:val="single"/>
        </w:rPr>
        <w:t xml:space="preserve">Zinnat </w:t>
      </w:r>
      <w:r w:rsidR="005644C0" w:rsidRPr="00697381">
        <w:rPr>
          <w:szCs w:val="22"/>
          <w:u w:val="single"/>
        </w:rPr>
        <w:t>125 mg/5 ml granulátum belsőleges szuszpenzióhoz</w:t>
      </w:r>
    </w:p>
    <w:p w14:paraId="2AB9013B" w14:textId="4A090C09" w:rsidR="005644C0" w:rsidRPr="00831917" w:rsidRDefault="00556DD0" w:rsidP="00831917">
      <w:pPr>
        <w:pStyle w:val="WW-Szvegtrzs3"/>
        <w:rPr>
          <w:szCs w:val="22"/>
        </w:rPr>
      </w:pPr>
      <w:r w:rsidRPr="00831917">
        <w:rPr>
          <w:szCs w:val="22"/>
        </w:rPr>
        <w:t>Granulátum belsőleges szuszpenzióhoz</w:t>
      </w:r>
      <w:r>
        <w:rPr>
          <w:szCs w:val="22"/>
        </w:rPr>
        <w:t>.</w:t>
      </w:r>
    </w:p>
    <w:p w14:paraId="1670FF5D" w14:textId="5C603C3F" w:rsidR="005644C0" w:rsidRPr="00831917" w:rsidRDefault="00EF1083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Fehér vagy csaknem fehér, </w:t>
      </w:r>
      <w:r w:rsidR="000B0E10" w:rsidRPr="00CF6B6C">
        <w:rPr>
          <w:spacing w:val="-3"/>
          <w:szCs w:val="22"/>
        </w:rPr>
        <w:t>tutti-frutti ízű</w:t>
      </w:r>
      <w:r w:rsidR="000B0E10" w:rsidRPr="00CF6B6C">
        <w:rPr>
          <w:b/>
          <w:sz w:val="24"/>
        </w:rPr>
        <w:t xml:space="preserve"> </w:t>
      </w:r>
      <w:r w:rsidRPr="004B6172">
        <w:rPr>
          <w:szCs w:val="22"/>
        </w:rPr>
        <w:t>g</w:t>
      </w:r>
      <w:r w:rsidRPr="00831917">
        <w:rPr>
          <w:szCs w:val="22"/>
        </w:rPr>
        <w:t>ranulátum.</w:t>
      </w:r>
    </w:p>
    <w:p w14:paraId="08015ED7" w14:textId="77777777" w:rsidR="005644C0" w:rsidRDefault="005644C0" w:rsidP="00831917">
      <w:pPr>
        <w:spacing w:line="240" w:lineRule="auto"/>
        <w:rPr>
          <w:szCs w:val="22"/>
        </w:rPr>
      </w:pPr>
    </w:p>
    <w:p w14:paraId="661A0555" w14:textId="77777777" w:rsidR="00B63C16" w:rsidRPr="00831917" w:rsidRDefault="00B63C16" w:rsidP="00831917">
      <w:pPr>
        <w:spacing w:line="240" w:lineRule="auto"/>
        <w:rPr>
          <w:szCs w:val="22"/>
        </w:rPr>
      </w:pPr>
    </w:p>
    <w:p w14:paraId="37A01F98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caps/>
          <w:szCs w:val="22"/>
        </w:rPr>
      </w:pPr>
      <w:r w:rsidRPr="00831917">
        <w:rPr>
          <w:b/>
          <w:caps/>
          <w:szCs w:val="22"/>
        </w:rPr>
        <w:t>4.</w:t>
      </w:r>
      <w:r w:rsidRPr="00831917">
        <w:rPr>
          <w:b/>
          <w:caps/>
          <w:szCs w:val="22"/>
        </w:rPr>
        <w:tab/>
        <w:t>KLINIKAI JELLEMZŐK</w:t>
      </w:r>
    </w:p>
    <w:p w14:paraId="14E8DA9F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4417B56B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4.1</w:t>
      </w:r>
      <w:r w:rsidRPr="00831917">
        <w:rPr>
          <w:b/>
          <w:szCs w:val="22"/>
        </w:rPr>
        <w:tab/>
        <w:t>Terápiás javallatok</w:t>
      </w:r>
    </w:p>
    <w:p w14:paraId="5C97916D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3DB2EE58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>A Zinnat az alábbi fertőzések kezelésére javallott felnőtteknél és gyermekeknél 3 hónapos életkortól (lásd 4.4 és 5.1 pont).</w:t>
      </w:r>
    </w:p>
    <w:p w14:paraId="146E8774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6F4F2CAD" w14:textId="77777777" w:rsidR="005644C0" w:rsidRPr="00831917" w:rsidRDefault="005644C0" w:rsidP="00831917">
      <w:pPr>
        <w:pStyle w:val="Listaszerbekezds"/>
        <w:keepNext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 xml:space="preserve">Akut streptococcus tonsillitis és pharyngitis. </w:t>
      </w:r>
    </w:p>
    <w:p w14:paraId="4B71EA40" w14:textId="77777777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 xml:space="preserve">Akut bakteriális sinusitis. </w:t>
      </w:r>
    </w:p>
    <w:p w14:paraId="6C346766" w14:textId="77777777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>Akut otitis media.</w:t>
      </w:r>
    </w:p>
    <w:p w14:paraId="316F9F34" w14:textId="510A6AA5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 xml:space="preserve">Krónikus </w:t>
      </w:r>
      <w:r w:rsidR="00330B00">
        <w:rPr>
          <w:szCs w:val="22"/>
        </w:rPr>
        <w:t>obstruktív tüdőbetegség</w:t>
      </w:r>
      <w:r w:rsidR="00330B00" w:rsidRPr="00831917">
        <w:rPr>
          <w:szCs w:val="22"/>
        </w:rPr>
        <w:t xml:space="preserve"> </w:t>
      </w:r>
      <w:r w:rsidRPr="00831917">
        <w:rPr>
          <w:szCs w:val="22"/>
        </w:rPr>
        <w:t>akut exacerbatiója.</w:t>
      </w:r>
    </w:p>
    <w:p w14:paraId="223B5E24" w14:textId="77777777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>Cystitis.</w:t>
      </w:r>
    </w:p>
    <w:p w14:paraId="5A975328" w14:textId="77777777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>Pyelonephritis.</w:t>
      </w:r>
    </w:p>
    <w:p w14:paraId="7A5E1BB1" w14:textId="17AA1A34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>Szövődménymentes bőr- és lágyré</w:t>
      </w:r>
      <w:r w:rsidR="00070EF7">
        <w:rPr>
          <w:szCs w:val="22"/>
        </w:rPr>
        <w:t>szfe</w:t>
      </w:r>
      <w:r w:rsidRPr="00831917">
        <w:rPr>
          <w:szCs w:val="22"/>
        </w:rPr>
        <w:t>rtőzések.</w:t>
      </w:r>
    </w:p>
    <w:p w14:paraId="0759404D" w14:textId="77777777" w:rsidR="005644C0" w:rsidRPr="00831917" w:rsidRDefault="005644C0" w:rsidP="00831917">
      <w:pPr>
        <w:pStyle w:val="Listaszerbekezds"/>
        <w:numPr>
          <w:ilvl w:val="0"/>
          <w:numId w:val="2"/>
        </w:numPr>
        <w:tabs>
          <w:tab w:val="left" w:pos="284"/>
        </w:tabs>
        <w:spacing w:line="240" w:lineRule="auto"/>
        <w:ind w:left="284" w:hanging="284"/>
        <w:rPr>
          <w:szCs w:val="22"/>
        </w:rPr>
      </w:pPr>
      <w:r w:rsidRPr="00831917">
        <w:rPr>
          <w:szCs w:val="22"/>
        </w:rPr>
        <w:t>Lyme</w:t>
      </w:r>
      <w:r w:rsidRPr="00831917">
        <w:rPr>
          <w:szCs w:val="22"/>
        </w:rPr>
        <w:noBreakHyphen/>
        <w:t>kór korai szakasza.</w:t>
      </w:r>
    </w:p>
    <w:p w14:paraId="06048C23" w14:textId="77777777" w:rsidR="005644C0" w:rsidRPr="00831917" w:rsidRDefault="005644C0" w:rsidP="00831917">
      <w:pPr>
        <w:pStyle w:val="Listaszerbekezds"/>
        <w:tabs>
          <w:tab w:val="left" w:pos="0"/>
        </w:tabs>
        <w:spacing w:line="240" w:lineRule="auto"/>
        <w:ind w:left="0"/>
        <w:rPr>
          <w:szCs w:val="22"/>
        </w:rPr>
      </w:pPr>
    </w:p>
    <w:p w14:paraId="7780DD19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Figyelembe kell venni az antibakteriális gyógyszerek helyes használatával kapcsolatos hivatalos irányelveket.</w:t>
      </w:r>
    </w:p>
    <w:p w14:paraId="25AF05BD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67BEEAA" w14:textId="77777777" w:rsidR="005644C0" w:rsidRPr="00831917" w:rsidRDefault="005644C0" w:rsidP="00831917">
      <w:pPr>
        <w:pStyle w:val="Listaszerbekezds"/>
        <w:keepNext/>
        <w:numPr>
          <w:ilvl w:val="1"/>
          <w:numId w:val="3"/>
        </w:numPr>
        <w:spacing w:line="240" w:lineRule="auto"/>
        <w:rPr>
          <w:b/>
          <w:szCs w:val="22"/>
        </w:rPr>
      </w:pPr>
      <w:r w:rsidRPr="00831917">
        <w:rPr>
          <w:b/>
          <w:szCs w:val="22"/>
        </w:rPr>
        <w:t>Adagolás és alkalmazás</w:t>
      </w:r>
    </w:p>
    <w:p w14:paraId="1B7FC2C8" w14:textId="77777777" w:rsidR="005644C0" w:rsidRPr="00831917" w:rsidRDefault="005644C0" w:rsidP="00831917">
      <w:pPr>
        <w:keepNext/>
        <w:spacing w:line="240" w:lineRule="auto"/>
        <w:ind w:left="567" w:hanging="567"/>
        <w:rPr>
          <w:szCs w:val="22"/>
        </w:rPr>
      </w:pPr>
    </w:p>
    <w:p w14:paraId="0F603007" w14:textId="77777777" w:rsidR="005644C0" w:rsidRPr="00831917" w:rsidRDefault="005644C0" w:rsidP="00831917">
      <w:pPr>
        <w:keepNext/>
        <w:spacing w:line="240" w:lineRule="auto"/>
        <w:rPr>
          <w:szCs w:val="22"/>
          <w:u w:val="single"/>
        </w:rPr>
      </w:pPr>
      <w:r w:rsidRPr="00831917">
        <w:rPr>
          <w:szCs w:val="22"/>
          <w:u w:val="single"/>
        </w:rPr>
        <w:t>Adagolás</w:t>
      </w:r>
    </w:p>
    <w:p w14:paraId="781F26F3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155B1770" w14:textId="450531C0" w:rsidR="00330B00" w:rsidRDefault="005644C0" w:rsidP="00330B00">
      <w:pPr>
        <w:keepNext/>
        <w:spacing w:line="240" w:lineRule="auto"/>
        <w:rPr>
          <w:szCs w:val="22"/>
        </w:rPr>
      </w:pPr>
      <w:r w:rsidRPr="00831917">
        <w:rPr>
          <w:szCs w:val="22"/>
        </w:rPr>
        <w:t xml:space="preserve">A kezelés szokásos időtartama </w:t>
      </w:r>
      <w:r w:rsidR="00D072D0">
        <w:rPr>
          <w:szCs w:val="22"/>
        </w:rPr>
        <w:t>7 </w:t>
      </w:r>
      <w:r w:rsidRPr="00831917">
        <w:rPr>
          <w:szCs w:val="22"/>
        </w:rPr>
        <w:t>nap (</w:t>
      </w:r>
      <w:r w:rsidR="00D072D0">
        <w:rPr>
          <w:szCs w:val="22"/>
        </w:rPr>
        <w:t>5</w:t>
      </w:r>
      <w:r w:rsidRPr="00831917">
        <w:rPr>
          <w:szCs w:val="22"/>
        </w:rPr>
        <w:noBreakHyphen/>
      </w:r>
      <w:r w:rsidR="00D072D0">
        <w:rPr>
          <w:szCs w:val="22"/>
        </w:rPr>
        <w:t>10</w:t>
      </w:r>
      <w:r w:rsidRPr="00831917">
        <w:rPr>
          <w:szCs w:val="22"/>
        </w:rPr>
        <w:t> napos időtartomány).</w:t>
      </w:r>
      <w:r w:rsidR="00330B00" w:rsidRPr="00330B00">
        <w:rPr>
          <w:szCs w:val="22"/>
        </w:rPr>
        <w:t xml:space="preserve"> </w:t>
      </w:r>
      <w:r w:rsidR="00330B00">
        <w:rPr>
          <w:szCs w:val="22"/>
        </w:rPr>
        <w:t xml:space="preserve">Az </w:t>
      </w:r>
      <w:r w:rsidR="00070EF7">
        <w:rPr>
          <w:szCs w:val="22"/>
        </w:rPr>
        <w:t>adott</w:t>
      </w:r>
      <w:r w:rsidR="00330B00">
        <w:rPr>
          <w:szCs w:val="22"/>
        </w:rPr>
        <w:t xml:space="preserve"> fertőzés kezelésére </w:t>
      </w:r>
      <w:r w:rsidR="00070EF7">
        <w:rPr>
          <w:szCs w:val="22"/>
        </w:rPr>
        <w:t xml:space="preserve">a </w:t>
      </w:r>
      <w:r w:rsidR="00330B00">
        <w:rPr>
          <w:szCs w:val="22"/>
        </w:rPr>
        <w:t>cefuroxim</w:t>
      </w:r>
      <w:r w:rsidR="00070EF7">
        <w:rPr>
          <w:szCs w:val="22"/>
        </w:rPr>
        <w:t>-</w:t>
      </w:r>
      <w:r w:rsidR="00330B00">
        <w:rPr>
          <w:szCs w:val="22"/>
        </w:rPr>
        <w:t>dózis</w:t>
      </w:r>
      <w:r w:rsidR="00070EF7">
        <w:rPr>
          <w:szCs w:val="22"/>
        </w:rPr>
        <w:t xml:space="preserve"> kiválasztásakor</w:t>
      </w:r>
      <w:r w:rsidR="00330B00">
        <w:rPr>
          <w:szCs w:val="22"/>
        </w:rPr>
        <w:t xml:space="preserve"> figyelembe kell vennie az alábbiakat:</w:t>
      </w:r>
    </w:p>
    <w:p w14:paraId="629ED297" w14:textId="77777777" w:rsidR="00330B00" w:rsidRDefault="00330B00" w:rsidP="00330B00">
      <w:pPr>
        <w:keepNext/>
        <w:spacing w:line="240" w:lineRule="auto"/>
        <w:rPr>
          <w:szCs w:val="22"/>
        </w:rPr>
      </w:pPr>
    </w:p>
    <w:p w14:paraId="0201DFD3" w14:textId="77777777" w:rsidR="00330B00" w:rsidRDefault="00330B00" w:rsidP="00330B00">
      <w:pPr>
        <w:pStyle w:val="Listaszerbekezds"/>
        <w:keepNext/>
        <w:numPr>
          <w:ilvl w:val="0"/>
          <w:numId w:val="41"/>
        </w:numPr>
        <w:spacing w:line="240" w:lineRule="auto"/>
        <w:ind w:left="284" w:hanging="284"/>
        <w:rPr>
          <w:szCs w:val="22"/>
        </w:rPr>
      </w:pPr>
      <w:r>
        <w:rPr>
          <w:szCs w:val="22"/>
        </w:rPr>
        <w:t>A várható kórokozók és valószínű érzékenységük a cefuroxim-axetilre.</w:t>
      </w:r>
    </w:p>
    <w:p w14:paraId="1CF44386" w14:textId="77777777" w:rsidR="00330B00" w:rsidRDefault="00330B00" w:rsidP="00330B00">
      <w:pPr>
        <w:pStyle w:val="Listaszerbekezds"/>
        <w:keepNext/>
        <w:numPr>
          <w:ilvl w:val="0"/>
          <w:numId w:val="41"/>
        </w:numPr>
        <w:spacing w:line="240" w:lineRule="auto"/>
        <w:ind w:left="284" w:hanging="284"/>
        <w:rPr>
          <w:szCs w:val="22"/>
        </w:rPr>
      </w:pPr>
      <w:r>
        <w:rPr>
          <w:szCs w:val="22"/>
        </w:rPr>
        <w:t>A fertőzés súlyossága és helye.</w:t>
      </w:r>
    </w:p>
    <w:p w14:paraId="61CF230D" w14:textId="73526AA3" w:rsidR="00330B00" w:rsidRDefault="00330B00" w:rsidP="00330B00">
      <w:pPr>
        <w:pStyle w:val="Listaszerbekezds"/>
        <w:keepNext/>
        <w:numPr>
          <w:ilvl w:val="0"/>
          <w:numId w:val="41"/>
        </w:numPr>
        <w:spacing w:line="240" w:lineRule="auto"/>
        <w:ind w:left="284" w:hanging="284"/>
        <w:rPr>
          <w:szCs w:val="22"/>
        </w:rPr>
      </w:pPr>
      <w:r>
        <w:rPr>
          <w:szCs w:val="22"/>
        </w:rPr>
        <w:t xml:space="preserve">A beteg életkora, </w:t>
      </w:r>
      <w:r w:rsidR="00070EF7">
        <w:rPr>
          <w:szCs w:val="22"/>
        </w:rPr>
        <w:t>testtömege</w:t>
      </w:r>
      <w:r>
        <w:rPr>
          <w:szCs w:val="22"/>
        </w:rPr>
        <w:t xml:space="preserve"> és vesefunkciója a lentiek szerint.</w:t>
      </w:r>
    </w:p>
    <w:p w14:paraId="6280A37B" w14:textId="77777777" w:rsidR="00330B00" w:rsidRPr="00BD5269" w:rsidRDefault="00330B00" w:rsidP="00330B00">
      <w:pPr>
        <w:keepNext/>
        <w:spacing w:line="240" w:lineRule="auto"/>
        <w:rPr>
          <w:szCs w:val="22"/>
        </w:rPr>
      </w:pPr>
    </w:p>
    <w:p w14:paraId="5E263123" w14:textId="3A542D47" w:rsidR="005644C0" w:rsidRPr="00831917" w:rsidRDefault="00330B00" w:rsidP="00831917">
      <w:pPr>
        <w:keepNext/>
        <w:spacing w:line="240" w:lineRule="auto"/>
        <w:rPr>
          <w:szCs w:val="22"/>
        </w:rPr>
      </w:pPr>
      <w:r>
        <w:rPr>
          <w:szCs w:val="22"/>
        </w:rPr>
        <w:t xml:space="preserve">A kezelés időtartamát a fertőzés típusa és a beteg </w:t>
      </w:r>
      <w:r w:rsidR="00070EF7">
        <w:rPr>
          <w:szCs w:val="22"/>
        </w:rPr>
        <w:t>terápiás válasza</w:t>
      </w:r>
      <w:r>
        <w:rPr>
          <w:szCs w:val="22"/>
        </w:rPr>
        <w:t xml:space="preserve"> alapján kell meghatározni, és általában nem lehet</w:t>
      </w:r>
      <w:r w:rsidR="00070EF7">
        <w:rPr>
          <w:szCs w:val="22"/>
        </w:rPr>
        <w:t xml:space="preserve"> az ajánlottnál</w:t>
      </w:r>
      <w:r>
        <w:rPr>
          <w:szCs w:val="22"/>
        </w:rPr>
        <w:t xml:space="preserve"> hosszabb.</w:t>
      </w:r>
    </w:p>
    <w:p w14:paraId="7A37E51A" w14:textId="77777777" w:rsidR="005644C0" w:rsidRPr="00831917" w:rsidRDefault="005644C0" w:rsidP="00831917">
      <w:pPr>
        <w:spacing w:line="240" w:lineRule="auto"/>
        <w:rPr>
          <w:szCs w:val="22"/>
          <w:u w:val="single"/>
        </w:rPr>
      </w:pPr>
    </w:p>
    <w:p w14:paraId="4D5D0B09" w14:textId="4A59D762" w:rsidR="005644C0" w:rsidRPr="00831917" w:rsidRDefault="005644C0" w:rsidP="00831917">
      <w:pPr>
        <w:keepNext/>
        <w:spacing w:line="240" w:lineRule="auto"/>
        <w:rPr>
          <w:i/>
          <w:szCs w:val="22"/>
        </w:rPr>
      </w:pPr>
      <w:r w:rsidRPr="00831917">
        <w:rPr>
          <w:i/>
          <w:szCs w:val="22"/>
        </w:rPr>
        <w:lastRenderedPageBreak/>
        <w:t>1. táblázat</w:t>
      </w:r>
      <w:r w:rsidR="00070EF7">
        <w:rPr>
          <w:i/>
          <w:szCs w:val="22"/>
        </w:rPr>
        <w:t>:</w:t>
      </w:r>
      <w:r w:rsidRPr="00831917">
        <w:rPr>
          <w:i/>
          <w:szCs w:val="22"/>
        </w:rPr>
        <w:t xml:space="preserve"> Felnőttek és gyermekek (</w:t>
      </w:r>
      <w:r w:rsidRPr="00831917">
        <w:rPr>
          <w:i/>
          <w:szCs w:val="22"/>
        </w:rPr>
        <w:sym w:font="Symbol" w:char="F0B3"/>
      </w:r>
      <w:r w:rsidRPr="00831917">
        <w:rPr>
          <w:i/>
          <w:szCs w:val="22"/>
        </w:rPr>
        <w:t> 40 ttkg)</w:t>
      </w:r>
    </w:p>
    <w:p w14:paraId="057D2407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4819"/>
      </w:tblGrid>
      <w:tr w:rsidR="005644C0" w:rsidRPr="00831917" w14:paraId="71CE3006" w14:textId="77777777" w:rsidTr="00644BA9">
        <w:tc>
          <w:tcPr>
            <w:tcW w:w="4395" w:type="dxa"/>
          </w:tcPr>
          <w:p w14:paraId="2CDBC629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Javallat</w:t>
            </w:r>
          </w:p>
        </w:tc>
        <w:tc>
          <w:tcPr>
            <w:tcW w:w="4819" w:type="dxa"/>
          </w:tcPr>
          <w:p w14:paraId="064DCD6B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Adagolás</w:t>
            </w:r>
          </w:p>
        </w:tc>
      </w:tr>
      <w:tr w:rsidR="005644C0" w:rsidRPr="00831917" w14:paraId="63156FD0" w14:textId="77777777" w:rsidTr="00644BA9">
        <w:tc>
          <w:tcPr>
            <w:tcW w:w="4395" w:type="dxa"/>
          </w:tcPr>
          <w:p w14:paraId="0E155230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Akut tonsillitis és pharyngitis, akut bakteriális sinusitis</w:t>
            </w:r>
          </w:p>
        </w:tc>
        <w:tc>
          <w:tcPr>
            <w:tcW w:w="4819" w:type="dxa"/>
          </w:tcPr>
          <w:p w14:paraId="62FEC697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250 mg naponta kétszer</w:t>
            </w:r>
          </w:p>
        </w:tc>
      </w:tr>
      <w:tr w:rsidR="005644C0" w:rsidRPr="00831917" w14:paraId="5B6B1A57" w14:textId="77777777" w:rsidTr="00644BA9">
        <w:tc>
          <w:tcPr>
            <w:tcW w:w="4395" w:type="dxa"/>
          </w:tcPr>
          <w:p w14:paraId="486F5A0D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Akut otitis media</w:t>
            </w:r>
          </w:p>
        </w:tc>
        <w:tc>
          <w:tcPr>
            <w:tcW w:w="4819" w:type="dxa"/>
          </w:tcPr>
          <w:p w14:paraId="72DE763E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500 mg naponta kétszer</w:t>
            </w:r>
          </w:p>
        </w:tc>
      </w:tr>
      <w:tr w:rsidR="005644C0" w:rsidRPr="00831917" w14:paraId="156E9A32" w14:textId="77777777" w:rsidTr="00644BA9">
        <w:tc>
          <w:tcPr>
            <w:tcW w:w="4395" w:type="dxa"/>
          </w:tcPr>
          <w:p w14:paraId="36DE5226" w14:textId="73A8A39D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 xml:space="preserve">Krónikus </w:t>
            </w:r>
            <w:r w:rsidR="00330B00">
              <w:rPr>
                <w:szCs w:val="22"/>
              </w:rPr>
              <w:t>obstruktív tüdőbetegség</w:t>
            </w:r>
            <w:r w:rsidR="00330B00" w:rsidRPr="00831917">
              <w:rPr>
                <w:szCs w:val="22"/>
              </w:rPr>
              <w:t xml:space="preserve"> </w:t>
            </w:r>
            <w:r w:rsidRPr="00831917">
              <w:rPr>
                <w:szCs w:val="22"/>
              </w:rPr>
              <w:t>akut exacerbatiója</w:t>
            </w:r>
          </w:p>
        </w:tc>
        <w:tc>
          <w:tcPr>
            <w:tcW w:w="4819" w:type="dxa"/>
          </w:tcPr>
          <w:p w14:paraId="0A024DC8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500 mg naponta kétszer</w:t>
            </w:r>
          </w:p>
        </w:tc>
      </w:tr>
      <w:tr w:rsidR="005644C0" w:rsidRPr="00831917" w14:paraId="03D947AA" w14:textId="77777777" w:rsidTr="00644BA9">
        <w:tc>
          <w:tcPr>
            <w:tcW w:w="4395" w:type="dxa"/>
          </w:tcPr>
          <w:p w14:paraId="4F1E2DE8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Cystitis</w:t>
            </w:r>
          </w:p>
        </w:tc>
        <w:tc>
          <w:tcPr>
            <w:tcW w:w="4819" w:type="dxa"/>
          </w:tcPr>
          <w:p w14:paraId="53D3EA88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250 mg naponta kétszer</w:t>
            </w:r>
          </w:p>
        </w:tc>
      </w:tr>
      <w:tr w:rsidR="005644C0" w:rsidRPr="00831917" w14:paraId="5AA13204" w14:textId="77777777" w:rsidTr="00644BA9">
        <w:tc>
          <w:tcPr>
            <w:tcW w:w="4395" w:type="dxa"/>
          </w:tcPr>
          <w:p w14:paraId="419EF995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Pyelonephritis</w:t>
            </w:r>
          </w:p>
        </w:tc>
        <w:tc>
          <w:tcPr>
            <w:tcW w:w="4819" w:type="dxa"/>
          </w:tcPr>
          <w:p w14:paraId="0AD9A525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250 mg naponta kétszer</w:t>
            </w:r>
          </w:p>
        </w:tc>
      </w:tr>
      <w:tr w:rsidR="005644C0" w:rsidRPr="00831917" w14:paraId="67CC88F1" w14:textId="77777777" w:rsidTr="00644BA9">
        <w:tc>
          <w:tcPr>
            <w:tcW w:w="4395" w:type="dxa"/>
          </w:tcPr>
          <w:p w14:paraId="7508986B" w14:textId="2799B626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Szövődménymentes bőr- és lágyré</w:t>
            </w:r>
            <w:r w:rsidR="00070EF7">
              <w:rPr>
                <w:szCs w:val="22"/>
              </w:rPr>
              <w:t>szfe</w:t>
            </w:r>
            <w:r w:rsidRPr="00831917">
              <w:rPr>
                <w:szCs w:val="22"/>
              </w:rPr>
              <w:t>rtőzések</w:t>
            </w:r>
          </w:p>
        </w:tc>
        <w:tc>
          <w:tcPr>
            <w:tcW w:w="4819" w:type="dxa"/>
          </w:tcPr>
          <w:p w14:paraId="65CC4052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250 mg naponta kétszer</w:t>
            </w:r>
          </w:p>
        </w:tc>
      </w:tr>
      <w:tr w:rsidR="005644C0" w:rsidRPr="00831917" w14:paraId="1F27FABA" w14:textId="77777777" w:rsidTr="00644BA9">
        <w:tc>
          <w:tcPr>
            <w:tcW w:w="4395" w:type="dxa"/>
          </w:tcPr>
          <w:p w14:paraId="2CAE68C2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Lyme</w:t>
            </w:r>
            <w:r w:rsidRPr="00831917">
              <w:rPr>
                <w:szCs w:val="22"/>
              </w:rPr>
              <w:noBreakHyphen/>
              <w:t xml:space="preserve">kór </w:t>
            </w:r>
          </w:p>
        </w:tc>
        <w:tc>
          <w:tcPr>
            <w:tcW w:w="4819" w:type="dxa"/>
          </w:tcPr>
          <w:p w14:paraId="39F5A0D6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500 mg naponta kétszer, 14 napon át (10</w:t>
            </w:r>
            <w:r w:rsidRPr="00831917">
              <w:rPr>
                <w:szCs w:val="22"/>
              </w:rPr>
              <w:noBreakHyphen/>
              <w:t>21 napos időtartomány)</w:t>
            </w:r>
          </w:p>
        </w:tc>
      </w:tr>
    </w:tbl>
    <w:p w14:paraId="5BCA61E6" w14:textId="77777777" w:rsidR="005644C0" w:rsidRPr="00831917" w:rsidRDefault="005644C0" w:rsidP="00831917">
      <w:pPr>
        <w:tabs>
          <w:tab w:val="left" w:pos="0"/>
        </w:tabs>
        <w:spacing w:line="240" w:lineRule="auto"/>
        <w:rPr>
          <w:noProof/>
          <w:szCs w:val="22"/>
          <w:u w:val="single"/>
          <w:shd w:val="clear" w:color="auto" w:fill="C0C0C0"/>
        </w:rPr>
      </w:pPr>
    </w:p>
    <w:p w14:paraId="7E1A9476" w14:textId="4F27A4B1" w:rsidR="005644C0" w:rsidRPr="00831917" w:rsidRDefault="005644C0" w:rsidP="00831917">
      <w:pPr>
        <w:keepNext/>
        <w:spacing w:line="240" w:lineRule="auto"/>
        <w:rPr>
          <w:i/>
          <w:szCs w:val="22"/>
        </w:rPr>
      </w:pPr>
      <w:r w:rsidRPr="00831917">
        <w:rPr>
          <w:i/>
          <w:szCs w:val="22"/>
        </w:rPr>
        <w:t>2. táblázat: Gyermek</w:t>
      </w:r>
      <w:r w:rsidR="00544F06" w:rsidRPr="00831917">
        <w:rPr>
          <w:i/>
          <w:szCs w:val="22"/>
        </w:rPr>
        <w:t>ek</w:t>
      </w:r>
      <w:r w:rsidRPr="00831917">
        <w:rPr>
          <w:i/>
          <w:szCs w:val="22"/>
        </w:rPr>
        <w:t xml:space="preserve"> (&lt; 40 ttkg)</w:t>
      </w:r>
      <w:r w:rsidR="00330B00">
        <w:rPr>
          <w:i/>
          <w:szCs w:val="22"/>
        </w:rPr>
        <w:t xml:space="preserve"> (lásd még 3. és 4. táblázat)</w:t>
      </w:r>
    </w:p>
    <w:p w14:paraId="5CBE5FE3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1"/>
        <w:gridCol w:w="4593"/>
      </w:tblGrid>
      <w:tr w:rsidR="005644C0" w:rsidRPr="00831917" w14:paraId="4197C0EF" w14:textId="77777777" w:rsidTr="00644BA9">
        <w:tc>
          <w:tcPr>
            <w:tcW w:w="4621" w:type="dxa"/>
          </w:tcPr>
          <w:p w14:paraId="0E716C66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Javallat</w:t>
            </w:r>
          </w:p>
        </w:tc>
        <w:tc>
          <w:tcPr>
            <w:tcW w:w="4593" w:type="dxa"/>
          </w:tcPr>
          <w:p w14:paraId="30582BDE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Adagolás</w:t>
            </w:r>
          </w:p>
        </w:tc>
      </w:tr>
      <w:tr w:rsidR="005644C0" w:rsidRPr="00831917" w14:paraId="4BEB0071" w14:textId="77777777" w:rsidTr="00644BA9">
        <w:tc>
          <w:tcPr>
            <w:tcW w:w="4621" w:type="dxa"/>
          </w:tcPr>
          <w:p w14:paraId="75D17021" w14:textId="4EED89E0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Akut tonsillitis és pharyngitis</w:t>
            </w:r>
          </w:p>
        </w:tc>
        <w:tc>
          <w:tcPr>
            <w:tcW w:w="4593" w:type="dxa"/>
          </w:tcPr>
          <w:p w14:paraId="7EC7A3FC" w14:textId="09CF2773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 xml:space="preserve">10 mg/ttkg naponta kétszer, legfeljebb </w:t>
            </w:r>
            <w:r w:rsidR="00330B00">
              <w:rPr>
                <w:szCs w:val="22"/>
              </w:rPr>
              <w:t>250</w:t>
            </w:r>
            <w:r w:rsidR="00330B00" w:rsidRPr="00831917">
              <w:rPr>
                <w:szCs w:val="22"/>
              </w:rPr>
              <w:t> </w:t>
            </w:r>
            <w:r w:rsidRPr="00831917">
              <w:rPr>
                <w:szCs w:val="22"/>
              </w:rPr>
              <w:t>mg naponta kétszer</w:t>
            </w:r>
          </w:p>
        </w:tc>
      </w:tr>
      <w:tr w:rsidR="00330B00" w:rsidRPr="00831917" w14:paraId="4354F24A" w14:textId="77777777" w:rsidTr="00644BA9">
        <w:tc>
          <w:tcPr>
            <w:tcW w:w="4621" w:type="dxa"/>
          </w:tcPr>
          <w:p w14:paraId="5F0DC0AD" w14:textId="2943FF8E" w:rsidR="00330B00" w:rsidRPr="00831917" w:rsidRDefault="00330B00" w:rsidP="0083191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Akut otitis media</w:t>
            </w:r>
          </w:p>
        </w:tc>
        <w:tc>
          <w:tcPr>
            <w:tcW w:w="4593" w:type="dxa"/>
          </w:tcPr>
          <w:p w14:paraId="2DA58E68" w14:textId="034710CF" w:rsidR="00330B00" w:rsidRPr="00831917" w:rsidRDefault="00330B0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15 mg/ttkg naponta kétszer, legfeljebb 250 mg naponta kétszer</w:t>
            </w:r>
          </w:p>
        </w:tc>
      </w:tr>
      <w:tr w:rsidR="00330B00" w:rsidRPr="00831917" w14:paraId="1CB53609" w14:textId="77777777" w:rsidTr="00644BA9">
        <w:tc>
          <w:tcPr>
            <w:tcW w:w="4621" w:type="dxa"/>
          </w:tcPr>
          <w:p w14:paraId="300467DE" w14:textId="0E5494E7" w:rsidR="00330B00" w:rsidRPr="00831917" w:rsidRDefault="00330B00" w:rsidP="0083191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Akut bakteriális sinusitis</w:t>
            </w:r>
          </w:p>
        </w:tc>
        <w:tc>
          <w:tcPr>
            <w:tcW w:w="4593" w:type="dxa"/>
          </w:tcPr>
          <w:p w14:paraId="341174A9" w14:textId="378BB599" w:rsidR="00330B00" w:rsidRPr="00831917" w:rsidRDefault="00330B0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 xml:space="preserve">10 mg/ttkg naponta kétszer, legfeljebb </w:t>
            </w:r>
            <w:r>
              <w:rPr>
                <w:szCs w:val="22"/>
              </w:rPr>
              <w:t>250</w:t>
            </w:r>
            <w:r w:rsidRPr="00831917">
              <w:rPr>
                <w:szCs w:val="22"/>
              </w:rPr>
              <w:t> mg naponta kétszer</w:t>
            </w:r>
          </w:p>
        </w:tc>
      </w:tr>
      <w:tr w:rsidR="005644C0" w:rsidRPr="00831917" w14:paraId="081A1D68" w14:textId="77777777" w:rsidTr="00644BA9">
        <w:tc>
          <w:tcPr>
            <w:tcW w:w="4621" w:type="dxa"/>
          </w:tcPr>
          <w:p w14:paraId="591A85C5" w14:textId="77777777" w:rsidR="005644C0" w:rsidRPr="00831917" w:rsidRDefault="005644C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Cystiti</w:t>
            </w:r>
            <w:r w:rsidRPr="00596EE7">
              <w:rPr>
                <w:szCs w:val="22"/>
              </w:rPr>
              <w:t>s</w:t>
            </w:r>
          </w:p>
        </w:tc>
        <w:tc>
          <w:tcPr>
            <w:tcW w:w="4593" w:type="dxa"/>
          </w:tcPr>
          <w:p w14:paraId="698AACF5" w14:textId="6B292EC8" w:rsidR="005644C0" w:rsidRPr="00831917" w:rsidRDefault="005644C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 xml:space="preserve">15 mg/ttkg naponta kétszer, legfeljebb 250 mg </w:t>
            </w:r>
            <w:r w:rsidR="00330B00">
              <w:rPr>
                <w:szCs w:val="22"/>
              </w:rPr>
              <w:t>naponta kétszer</w:t>
            </w:r>
          </w:p>
        </w:tc>
      </w:tr>
      <w:tr w:rsidR="005644C0" w:rsidRPr="00831917" w14:paraId="67A178C7" w14:textId="77777777" w:rsidTr="00644BA9">
        <w:tc>
          <w:tcPr>
            <w:tcW w:w="4621" w:type="dxa"/>
          </w:tcPr>
          <w:p w14:paraId="6CE6CF8F" w14:textId="77777777" w:rsidR="005644C0" w:rsidRPr="00831917" w:rsidRDefault="005644C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Pyelonephritis</w:t>
            </w:r>
          </w:p>
        </w:tc>
        <w:tc>
          <w:tcPr>
            <w:tcW w:w="4593" w:type="dxa"/>
          </w:tcPr>
          <w:p w14:paraId="6DB5844D" w14:textId="77777777" w:rsidR="005644C0" w:rsidRPr="00831917" w:rsidRDefault="005644C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15 mg/ttkg naponta kétszer, legfeljebb 250 mg naponta kétszer, 10-14 napig</w:t>
            </w:r>
            <w:r w:rsidRPr="00831917">
              <w:rPr>
                <w:rStyle w:val="Jegyzethivatkozs"/>
                <w:sz w:val="22"/>
                <w:szCs w:val="22"/>
              </w:rPr>
              <w:t xml:space="preserve"> </w:t>
            </w:r>
          </w:p>
        </w:tc>
      </w:tr>
      <w:tr w:rsidR="005644C0" w:rsidRPr="00831917" w14:paraId="22CEB5C6" w14:textId="77777777" w:rsidTr="00644BA9">
        <w:tc>
          <w:tcPr>
            <w:tcW w:w="4621" w:type="dxa"/>
          </w:tcPr>
          <w:p w14:paraId="38A35F68" w14:textId="25F49DDA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Szövődménymentes bőr- és lágyré</w:t>
            </w:r>
            <w:r w:rsidR="00070EF7">
              <w:rPr>
                <w:szCs w:val="22"/>
              </w:rPr>
              <w:t>szfe</w:t>
            </w:r>
            <w:r w:rsidRPr="00831917">
              <w:rPr>
                <w:szCs w:val="22"/>
              </w:rPr>
              <w:t>rtőzések.</w:t>
            </w:r>
          </w:p>
        </w:tc>
        <w:tc>
          <w:tcPr>
            <w:tcW w:w="4593" w:type="dxa"/>
          </w:tcPr>
          <w:p w14:paraId="6E8FEEF2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15 mg/ttkg naponta kétszer, legfeljebb 250 mg naponta kétszer</w:t>
            </w:r>
          </w:p>
        </w:tc>
      </w:tr>
      <w:tr w:rsidR="005644C0" w:rsidRPr="00831917" w14:paraId="03548C52" w14:textId="77777777" w:rsidTr="00644BA9">
        <w:tc>
          <w:tcPr>
            <w:tcW w:w="4621" w:type="dxa"/>
          </w:tcPr>
          <w:p w14:paraId="6F202A25" w14:textId="77777777" w:rsidR="005644C0" w:rsidRPr="00831917" w:rsidRDefault="005644C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Lyme</w:t>
            </w:r>
            <w:r w:rsidRPr="00831917">
              <w:rPr>
                <w:szCs w:val="22"/>
              </w:rPr>
              <w:noBreakHyphen/>
              <w:t>kór</w:t>
            </w:r>
          </w:p>
        </w:tc>
        <w:tc>
          <w:tcPr>
            <w:tcW w:w="4593" w:type="dxa"/>
          </w:tcPr>
          <w:p w14:paraId="3FFDB6A4" w14:textId="34587CF4" w:rsidR="005644C0" w:rsidRPr="00831917" w:rsidRDefault="005644C0" w:rsidP="00070EF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15 mg/ttkg naponta kétszer, legfeljebb 250 mg naponta kétszer</w:t>
            </w:r>
            <w:r w:rsidR="00070EF7">
              <w:rPr>
                <w:szCs w:val="22"/>
              </w:rPr>
              <w:t>,</w:t>
            </w:r>
            <w:r w:rsidR="00A46442">
              <w:rPr>
                <w:szCs w:val="22"/>
              </w:rPr>
              <w:t xml:space="preserve"> </w:t>
            </w:r>
            <w:r w:rsidRPr="00831917">
              <w:rPr>
                <w:szCs w:val="22"/>
              </w:rPr>
              <w:t>14 napig (10-21 napos időtartomány).</w:t>
            </w:r>
          </w:p>
        </w:tc>
      </w:tr>
    </w:tbl>
    <w:p w14:paraId="5D97D7FD" w14:textId="77777777" w:rsidR="005644C0" w:rsidRPr="00831917" w:rsidRDefault="005644C0" w:rsidP="00831917">
      <w:pPr>
        <w:spacing w:line="240" w:lineRule="auto"/>
        <w:rPr>
          <w:rFonts w:ascii="TimesNewRoman" w:eastAsia="Calibri" w:hAnsi="TimesNewRoman" w:cs="TimesNewRoman"/>
          <w:szCs w:val="22"/>
          <w:lang w:eastAsia="en-GB"/>
        </w:rPr>
      </w:pPr>
    </w:p>
    <w:p w14:paraId="2545F994" w14:textId="35423FAC" w:rsidR="005644C0" w:rsidRDefault="005644C0" w:rsidP="00831917">
      <w:pPr>
        <w:spacing w:line="240" w:lineRule="auto"/>
        <w:rPr>
          <w:rFonts w:eastAsia="Calibri"/>
          <w:szCs w:val="22"/>
          <w:lang w:eastAsia="en-GB"/>
        </w:rPr>
      </w:pPr>
      <w:r w:rsidRPr="002541C0">
        <w:rPr>
          <w:rFonts w:eastAsia="Calibri"/>
          <w:szCs w:val="22"/>
          <w:lang w:eastAsia="en-GB"/>
        </w:rPr>
        <w:t>Nincsenek tapasztalatok a Zinnat alkalmazásával kapcsolatban 3 hónapos életkor alatti gyermekeknél.</w:t>
      </w:r>
    </w:p>
    <w:p w14:paraId="4991887E" w14:textId="56A679E4" w:rsidR="00330B00" w:rsidRDefault="00330B00" w:rsidP="00831917">
      <w:pPr>
        <w:spacing w:line="240" w:lineRule="auto"/>
        <w:rPr>
          <w:rFonts w:eastAsia="Calibri"/>
          <w:szCs w:val="22"/>
          <w:lang w:eastAsia="en-GB"/>
        </w:rPr>
      </w:pPr>
    </w:p>
    <w:p w14:paraId="4B9F080E" w14:textId="6CE81476" w:rsidR="00330B00" w:rsidRPr="002541C0" w:rsidRDefault="00330B00" w:rsidP="00831917">
      <w:pPr>
        <w:spacing w:line="240" w:lineRule="auto"/>
        <w:rPr>
          <w:rFonts w:eastAsia="Calibri"/>
          <w:szCs w:val="22"/>
          <w:lang w:eastAsia="en-GB"/>
        </w:rPr>
      </w:pPr>
      <w:r w:rsidRPr="00831917">
        <w:rPr>
          <w:noProof/>
          <w:szCs w:val="22"/>
          <w:shd w:val="clear" w:color="auto" w:fill="FFFFFF"/>
        </w:rPr>
        <w:t>Csecsemőknél (3 hónapos kortól)</w:t>
      </w:r>
      <w:r w:rsidRPr="00831917">
        <w:rPr>
          <w:i/>
          <w:noProof/>
          <w:szCs w:val="22"/>
          <w:shd w:val="clear" w:color="auto" w:fill="FFFFFF"/>
        </w:rPr>
        <w:t xml:space="preserve"> </w:t>
      </w:r>
      <w:r w:rsidRPr="00831917">
        <w:rPr>
          <w:noProof/>
          <w:szCs w:val="22"/>
          <w:shd w:val="clear" w:color="auto" w:fill="FFFFFF"/>
        </w:rPr>
        <w:t>és 40 kg-nál kisebb testtömegű gyermekeknél ajánlatos a dózis testtömeg szerinti meghatározása.</w:t>
      </w:r>
    </w:p>
    <w:p w14:paraId="08846621" w14:textId="77777777" w:rsidR="005644C0" w:rsidRPr="002541C0" w:rsidRDefault="005644C0" w:rsidP="00831917">
      <w:pPr>
        <w:spacing w:line="240" w:lineRule="auto"/>
        <w:rPr>
          <w:rFonts w:eastAsia="Calibri"/>
          <w:szCs w:val="22"/>
          <w:lang w:eastAsia="en-GB"/>
        </w:rPr>
      </w:pPr>
    </w:p>
    <w:p w14:paraId="5A4EBEC7" w14:textId="41BE5E6E" w:rsidR="005644C0" w:rsidRPr="002541C0" w:rsidRDefault="005644C0" w:rsidP="00831917">
      <w:pPr>
        <w:spacing w:line="240" w:lineRule="auto"/>
        <w:rPr>
          <w:rFonts w:eastAsia="Calibri"/>
          <w:szCs w:val="22"/>
          <w:lang w:eastAsia="en-GB"/>
        </w:rPr>
      </w:pPr>
      <w:r w:rsidRPr="002541C0">
        <w:rPr>
          <w:rFonts w:eastAsia="Calibri"/>
          <w:szCs w:val="22"/>
          <w:lang w:eastAsia="en-GB"/>
        </w:rPr>
        <w:t>A cefuroxim</w:t>
      </w:r>
      <w:r w:rsidRPr="002541C0">
        <w:rPr>
          <w:rFonts w:eastAsia="Calibri"/>
          <w:szCs w:val="22"/>
          <w:lang w:eastAsia="en-GB"/>
        </w:rPr>
        <w:noBreakHyphen/>
        <w:t>axetil tablett</w:t>
      </w:r>
      <w:r w:rsidR="007D729F">
        <w:rPr>
          <w:rFonts w:eastAsia="Calibri"/>
          <w:szCs w:val="22"/>
          <w:lang w:eastAsia="en-GB"/>
        </w:rPr>
        <w:t>a</w:t>
      </w:r>
      <w:r w:rsidRPr="002541C0">
        <w:rPr>
          <w:rFonts w:eastAsia="Calibri"/>
          <w:szCs w:val="22"/>
          <w:lang w:eastAsia="en-GB"/>
        </w:rPr>
        <w:t xml:space="preserve"> és a cefuroxim</w:t>
      </w:r>
      <w:r w:rsidRPr="002541C0">
        <w:rPr>
          <w:rFonts w:eastAsia="Calibri"/>
          <w:szCs w:val="22"/>
          <w:lang w:eastAsia="en-GB"/>
        </w:rPr>
        <w:noBreakHyphen/>
        <w:t>axetil granulátum belsőleges szuszpenzióhoz nem</w:t>
      </w:r>
      <w:r w:rsidR="00070EF7">
        <w:rPr>
          <w:rFonts w:eastAsia="Calibri"/>
          <w:szCs w:val="22"/>
          <w:lang w:eastAsia="en-GB"/>
        </w:rPr>
        <w:t> </w:t>
      </w:r>
      <w:r w:rsidRPr="002541C0">
        <w:rPr>
          <w:rFonts w:eastAsia="Calibri"/>
          <w:szCs w:val="22"/>
          <w:lang w:eastAsia="en-GB"/>
        </w:rPr>
        <w:t>bioegyenértékűek, és nem helyettesíthetik egymást milligramm/milligramm alapon számítva (lásd 5.2 pont).</w:t>
      </w:r>
    </w:p>
    <w:p w14:paraId="19F9BA60" w14:textId="77777777" w:rsidR="005644C0" w:rsidRPr="002541C0" w:rsidRDefault="005644C0" w:rsidP="00831917">
      <w:pPr>
        <w:spacing w:line="240" w:lineRule="auto"/>
        <w:rPr>
          <w:noProof/>
          <w:szCs w:val="22"/>
          <w:shd w:val="clear" w:color="auto" w:fill="C0C0C0"/>
        </w:rPr>
      </w:pPr>
    </w:p>
    <w:p w14:paraId="2A36F50C" w14:textId="138E209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Az alábbi két, </w:t>
      </w:r>
      <w:r w:rsidR="00330B00">
        <w:rPr>
          <w:szCs w:val="22"/>
        </w:rPr>
        <w:t xml:space="preserve">testtömeg </w:t>
      </w:r>
      <w:r w:rsidRPr="00831917">
        <w:rPr>
          <w:szCs w:val="22"/>
        </w:rPr>
        <w:t>szerint megosztott táblázat útmutatóként szolgál a mérőkanállal (5 ml) történő egyszerűsített adagoláshoz a 125 mg/5 ml többadagos szuszpenzióból.</w:t>
      </w:r>
    </w:p>
    <w:p w14:paraId="19639631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C776A15" w14:textId="3E6034E5" w:rsidR="00330B00" w:rsidRPr="00831917" w:rsidRDefault="005644C0" w:rsidP="00330B00">
      <w:pPr>
        <w:keepNext/>
        <w:spacing w:line="240" w:lineRule="auto"/>
        <w:rPr>
          <w:i/>
          <w:szCs w:val="22"/>
        </w:rPr>
      </w:pPr>
      <w:r w:rsidRPr="00831917">
        <w:rPr>
          <w:i/>
          <w:szCs w:val="22"/>
        </w:rPr>
        <w:t>3. táblázat</w:t>
      </w:r>
      <w:r w:rsidR="00070EF7">
        <w:rPr>
          <w:i/>
          <w:szCs w:val="22"/>
        </w:rPr>
        <w:t>:</w:t>
      </w:r>
      <w:r w:rsidRPr="00831917">
        <w:rPr>
          <w:i/>
          <w:szCs w:val="22"/>
        </w:rPr>
        <w:t xml:space="preserve"> 10 mg/ttkg adagolás a </w:t>
      </w:r>
      <w:r w:rsidR="00330B00">
        <w:rPr>
          <w:i/>
          <w:szCs w:val="22"/>
        </w:rPr>
        <w:t>3 hónapos és idősebb</w:t>
      </w:r>
      <w:r w:rsidR="00070EF7">
        <w:rPr>
          <w:i/>
          <w:szCs w:val="22"/>
        </w:rPr>
        <w:t>,</w:t>
      </w:r>
      <w:r w:rsidR="00330B00">
        <w:rPr>
          <w:i/>
          <w:szCs w:val="22"/>
        </w:rPr>
        <w:t xml:space="preserve"> </w:t>
      </w:r>
      <w:r w:rsidR="00070EF7" w:rsidRPr="00070EF7">
        <w:rPr>
          <w:i/>
          <w:szCs w:val="22"/>
        </w:rPr>
        <w:t>40 kg-nál kisebb testtömegű gyermekeknél</w:t>
      </w:r>
    </w:p>
    <w:p w14:paraId="4D2095BC" w14:textId="77777777" w:rsidR="005644C0" w:rsidRPr="00831917" w:rsidRDefault="005644C0" w:rsidP="00596EE7">
      <w:pPr>
        <w:keepNext/>
        <w:spacing w:line="240" w:lineRule="auto"/>
        <w:rPr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2523"/>
        <w:gridCol w:w="5528"/>
      </w:tblGrid>
      <w:tr w:rsidR="00222ADD" w:rsidRPr="00831917" w14:paraId="7C806929" w14:textId="77777777" w:rsidTr="00596EE7">
        <w:trPr>
          <w:cantSplit/>
        </w:trPr>
        <w:tc>
          <w:tcPr>
            <w:tcW w:w="1730" w:type="dxa"/>
          </w:tcPr>
          <w:p w14:paraId="761D3991" w14:textId="763B7683" w:rsidR="00222ADD" w:rsidRPr="00831917" w:rsidRDefault="00330B00" w:rsidP="00831917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Testtömeg</w:t>
            </w:r>
            <w:r w:rsidR="00A7600D">
              <w:rPr>
                <w:b/>
                <w:szCs w:val="22"/>
              </w:rPr>
              <w:t>-</w:t>
            </w:r>
            <w:r>
              <w:rPr>
                <w:b/>
                <w:szCs w:val="22"/>
              </w:rPr>
              <w:t>tartomány (kg)</w:t>
            </w:r>
          </w:p>
        </w:tc>
        <w:tc>
          <w:tcPr>
            <w:tcW w:w="2523" w:type="dxa"/>
          </w:tcPr>
          <w:p w14:paraId="5A365B92" w14:textId="477621B9" w:rsidR="00222ADD" w:rsidRPr="00831917" w:rsidRDefault="00D13729" w:rsidP="00831917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Adag (mg), naponta kétszer</w:t>
            </w:r>
          </w:p>
        </w:tc>
        <w:tc>
          <w:tcPr>
            <w:tcW w:w="5528" w:type="dxa"/>
          </w:tcPr>
          <w:p w14:paraId="7263DF74" w14:textId="76B68AE0" w:rsidR="00222ADD" w:rsidRPr="00831917" w:rsidRDefault="00A7600D" w:rsidP="00A7600D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Az elkészített szuszpenzió alkalmazandó</w:t>
            </w:r>
            <w:r w:rsidR="00222ADD" w:rsidRPr="00831917">
              <w:rPr>
                <w:b/>
                <w:szCs w:val="22"/>
              </w:rPr>
              <w:t xml:space="preserve"> térfogat</w:t>
            </w:r>
            <w:r>
              <w:rPr>
                <w:b/>
                <w:szCs w:val="22"/>
              </w:rPr>
              <w:t>a</w:t>
            </w:r>
            <w:r w:rsidR="00222ADD" w:rsidRPr="00831917">
              <w:rPr>
                <w:b/>
                <w:szCs w:val="22"/>
              </w:rPr>
              <w:t xml:space="preserve"> (ml)</w:t>
            </w:r>
            <w:r>
              <w:rPr>
                <w:b/>
                <w:szCs w:val="22"/>
              </w:rPr>
              <w:t xml:space="preserve"> adagonként</w:t>
            </w:r>
          </w:p>
        </w:tc>
      </w:tr>
      <w:tr w:rsidR="00222ADD" w:rsidRPr="00831917" w14:paraId="4BD765A8" w14:textId="77777777" w:rsidTr="00596EE7">
        <w:trPr>
          <w:cantSplit/>
        </w:trPr>
        <w:tc>
          <w:tcPr>
            <w:tcW w:w="1730" w:type="dxa"/>
          </w:tcPr>
          <w:p w14:paraId="654F4C31" w14:textId="52AE532F" w:rsidR="00222ADD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6</w:t>
            </w:r>
          </w:p>
        </w:tc>
        <w:tc>
          <w:tcPr>
            <w:tcW w:w="2523" w:type="dxa"/>
          </w:tcPr>
          <w:p w14:paraId="2E2AEF36" w14:textId="04BA26AB" w:rsidR="00222ADD" w:rsidRPr="00831917" w:rsidRDefault="00222ADD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40</w:t>
            </w:r>
            <w:r w:rsidR="00070EF7">
              <w:rPr>
                <w:szCs w:val="22"/>
              </w:rPr>
              <w:t>–</w:t>
            </w:r>
            <w:r w:rsidRPr="00831917">
              <w:rPr>
                <w:szCs w:val="22"/>
              </w:rPr>
              <w:t>60</w:t>
            </w:r>
          </w:p>
        </w:tc>
        <w:tc>
          <w:tcPr>
            <w:tcW w:w="5528" w:type="dxa"/>
          </w:tcPr>
          <w:p w14:paraId="4027A450" w14:textId="77777777" w:rsidR="00222ADD" w:rsidRPr="00831917" w:rsidRDefault="00222ADD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2,5</w:t>
            </w:r>
          </w:p>
        </w:tc>
      </w:tr>
      <w:tr w:rsidR="00222ADD" w:rsidRPr="00831917" w14:paraId="5F9AA275" w14:textId="77777777" w:rsidTr="00596EE7">
        <w:trPr>
          <w:cantSplit/>
        </w:trPr>
        <w:tc>
          <w:tcPr>
            <w:tcW w:w="1730" w:type="dxa"/>
          </w:tcPr>
          <w:p w14:paraId="2163BAA5" w14:textId="247B5492" w:rsidR="00222ADD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12,5</w:t>
            </w:r>
          </w:p>
        </w:tc>
        <w:tc>
          <w:tcPr>
            <w:tcW w:w="2523" w:type="dxa"/>
          </w:tcPr>
          <w:p w14:paraId="09FC12E7" w14:textId="77954535" w:rsidR="00222ADD" w:rsidRPr="00831917" w:rsidRDefault="00222ADD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60</w:t>
            </w:r>
            <w:r w:rsidR="00070EF7">
              <w:rPr>
                <w:szCs w:val="22"/>
              </w:rPr>
              <w:t>–</w:t>
            </w:r>
            <w:r w:rsidR="00330B00" w:rsidRPr="00831917">
              <w:rPr>
                <w:szCs w:val="22"/>
              </w:rPr>
              <w:t>12</w:t>
            </w:r>
            <w:r w:rsidR="00330B00">
              <w:rPr>
                <w:szCs w:val="22"/>
              </w:rPr>
              <w:t>5</w:t>
            </w:r>
          </w:p>
        </w:tc>
        <w:tc>
          <w:tcPr>
            <w:tcW w:w="5528" w:type="dxa"/>
          </w:tcPr>
          <w:p w14:paraId="266DDBEC" w14:textId="348CF605" w:rsidR="00222ADD" w:rsidRPr="00831917" w:rsidRDefault="00222ADD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2,5</w:t>
            </w:r>
            <w:r w:rsidR="00070EF7">
              <w:rPr>
                <w:szCs w:val="22"/>
              </w:rPr>
              <w:t>–</w:t>
            </w:r>
            <w:r w:rsidRPr="00831917">
              <w:rPr>
                <w:szCs w:val="22"/>
              </w:rPr>
              <w:t>5</w:t>
            </w:r>
          </w:p>
        </w:tc>
      </w:tr>
      <w:tr w:rsidR="00330B00" w:rsidRPr="00831917" w14:paraId="1EE3200A" w14:textId="77777777" w:rsidTr="00596EE7">
        <w:trPr>
          <w:cantSplit/>
        </w:trPr>
        <w:tc>
          <w:tcPr>
            <w:tcW w:w="1730" w:type="dxa"/>
          </w:tcPr>
          <w:p w14:paraId="0B50C2EA" w14:textId="1EC6E9B9" w:rsidR="00330B00" w:rsidRPr="00831917" w:rsidDel="00330B00" w:rsidRDefault="00330B00" w:rsidP="00831917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12,5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25</w:t>
            </w:r>
          </w:p>
        </w:tc>
        <w:tc>
          <w:tcPr>
            <w:tcW w:w="2523" w:type="dxa"/>
          </w:tcPr>
          <w:p w14:paraId="34524DB2" w14:textId="500111C2" w:rsidR="00330B00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125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250</w:t>
            </w:r>
          </w:p>
        </w:tc>
        <w:tc>
          <w:tcPr>
            <w:tcW w:w="5528" w:type="dxa"/>
          </w:tcPr>
          <w:p w14:paraId="547B7277" w14:textId="5413181E" w:rsidR="00330B00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5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10</w:t>
            </w:r>
          </w:p>
        </w:tc>
      </w:tr>
      <w:tr w:rsidR="00222ADD" w:rsidRPr="00831917" w14:paraId="5CA011DA" w14:textId="77777777" w:rsidTr="00596EE7">
        <w:trPr>
          <w:cantSplit/>
        </w:trPr>
        <w:tc>
          <w:tcPr>
            <w:tcW w:w="1730" w:type="dxa"/>
          </w:tcPr>
          <w:p w14:paraId="4A574569" w14:textId="7B910C2A" w:rsidR="00222ADD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nagyobb mint 25</w:t>
            </w:r>
          </w:p>
        </w:tc>
        <w:tc>
          <w:tcPr>
            <w:tcW w:w="2523" w:type="dxa"/>
          </w:tcPr>
          <w:p w14:paraId="110E9DFF" w14:textId="068C9C3A" w:rsidR="00222ADD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250</w:t>
            </w:r>
          </w:p>
        </w:tc>
        <w:tc>
          <w:tcPr>
            <w:tcW w:w="5528" w:type="dxa"/>
          </w:tcPr>
          <w:p w14:paraId="78CFF2BC" w14:textId="5B51FF03" w:rsidR="00222ADD" w:rsidRPr="00831917" w:rsidRDefault="00330B00" w:rsidP="00831917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</w:tbl>
    <w:p w14:paraId="03D9C645" w14:textId="77777777" w:rsidR="005644C0" w:rsidRPr="00831917" w:rsidRDefault="005644C0" w:rsidP="00831917">
      <w:pPr>
        <w:pStyle w:val="Postspace"/>
        <w:spacing w:after="0"/>
        <w:rPr>
          <w:sz w:val="22"/>
          <w:szCs w:val="22"/>
          <w:lang w:val="hu-HU"/>
        </w:rPr>
      </w:pPr>
    </w:p>
    <w:p w14:paraId="5497F206" w14:textId="1B7A2886" w:rsidR="005644C0" w:rsidRPr="00831917" w:rsidRDefault="005644C0" w:rsidP="00831917">
      <w:pPr>
        <w:keepNext/>
        <w:spacing w:line="240" w:lineRule="auto"/>
        <w:rPr>
          <w:i/>
          <w:szCs w:val="22"/>
        </w:rPr>
      </w:pPr>
      <w:r w:rsidRPr="00831917">
        <w:rPr>
          <w:i/>
          <w:szCs w:val="22"/>
        </w:rPr>
        <w:lastRenderedPageBreak/>
        <w:t>4. táblázat</w:t>
      </w:r>
      <w:r w:rsidR="00070EF7">
        <w:rPr>
          <w:i/>
          <w:szCs w:val="22"/>
        </w:rPr>
        <w:t>:</w:t>
      </w:r>
      <w:r w:rsidRPr="00831917">
        <w:rPr>
          <w:i/>
          <w:szCs w:val="22"/>
        </w:rPr>
        <w:t xml:space="preserve"> 15 mg/</w:t>
      </w:r>
      <w:r w:rsidR="00C16A8A" w:rsidRPr="00831917">
        <w:rPr>
          <w:i/>
          <w:szCs w:val="22"/>
        </w:rPr>
        <w:t>tt</w:t>
      </w:r>
      <w:r w:rsidRPr="00831917">
        <w:rPr>
          <w:i/>
          <w:szCs w:val="22"/>
        </w:rPr>
        <w:t xml:space="preserve">kg adagolás </w:t>
      </w:r>
      <w:r w:rsidR="00330B00" w:rsidRPr="00831917">
        <w:rPr>
          <w:i/>
          <w:szCs w:val="22"/>
        </w:rPr>
        <w:t xml:space="preserve">a </w:t>
      </w:r>
      <w:r w:rsidR="00070EF7">
        <w:rPr>
          <w:i/>
          <w:szCs w:val="22"/>
        </w:rPr>
        <w:t xml:space="preserve">3 hónapos és idősebb, </w:t>
      </w:r>
      <w:r w:rsidR="00070EF7" w:rsidRPr="00070EF7">
        <w:rPr>
          <w:i/>
          <w:szCs w:val="22"/>
        </w:rPr>
        <w:t>40 kg-nál kisebb testtömegű gyermekeknél</w:t>
      </w:r>
    </w:p>
    <w:p w14:paraId="642CA96B" w14:textId="77777777" w:rsidR="005644C0" w:rsidRPr="00831917" w:rsidRDefault="005644C0" w:rsidP="00831917">
      <w:pPr>
        <w:pStyle w:val="anchor"/>
        <w:keepNext/>
        <w:rPr>
          <w:sz w:val="22"/>
          <w:szCs w:val="22"/>
          <w:lang w:val="hu-H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2523"/>
        <w:gridCol w:w="5528"/>
      </w:tblGrid>
      <w:tr w:rsidR="00222ADD" w:rsidRPr="00831917" w14:paraId="674C64D3" w14:textId="77777777" w:rsidTr="00596EE7">
        <w:trPr>
          <w:cantSplit/>
        </w:trPr>
        <w:tc>
          <w:tcPr>
            <w:tcW w:w="1730" w:type="dxa"/>
          </w:tcPr>
          <w:p w14:paraId="206C5486" w14:textId="6F5ED1B7" w:rsidR="00222ADD" w:rsidRPr="00831917" w:rsidRDefault="00330B00" w:rsidP="008A43DC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Testtömeg</w:t>
            </w:r>
            <w:r w:rsidR="00A7600D">
              <w:rPr>
                <w:b/>
                <w:szCs w:val="22"/>
              </w:rPr>
              <w:t>-</w:t>
            </w:r>
            <w:r>
              <w:rPr>
                <w:b/>
                <w:szCs w:val="22"/>
              </w:rPr>
              <w:t>tartomá</w:t>
            </w:r>
            <w:r w:rsidR="005B2973">
              <w:rPr>
                <w:b/>
                <w:szCs w:val="22"/>
              </w:rPr>
              <w:t>ny (kg)</w:t>
            </w:r>
          </w:p>
        </w:tc>
        <w:tc>
          <w:tcPr>
            <w:tcW w:w="2523" w:type="dxa"/>
          </w:tcPr>
          <w:p w14:paraId="76F36CAC" w14:textId="19F88DE0" w:rsidR="00222ADD" w:rsidRPr="00831917" w:rsidRDefault="00D13729" w:rsidP="008A43DC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A</w:t>
            </w:r>
            <w:r w:rsidR="00222ADD" w:rsidRPr="00831917">
              <w:rPr>
                <w:b/>
                <w:szCs w:val="22"/>
              </w:rPr>
              <w:t>dag (mg)</w:t>
            </w:r>
            <w:r>
              <w:rPr>
                <w:b/>
                <w:szCs w:val="22"/>
              </w:rPr>
              <w:t xml:space="preserve"> naponta kétszer</w:t>
            </w:r>
          </w:p>
        </w:tc>
        <w:tc>
          <w:tcPr>
            <w:tcW w:w="5528" w:type="dxa"/>
          </w:tcPr>
          <w:p w14:paraId="739CF413" w14:textId="23A05809" w:rsidR="00222ADD" w:rsidRPr="00831917" w:rsidRDefault="00A7600D" w:rsidP="008A43DC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Az elkészített szuszpenzió alkalmazandó</w:t>
            </w:r>
            <w:r w:rsidRPr="00831917">
              <w:rPr>
                <w:b/>
                <w:szCs w:val="22"/>
              </w:rPr>
              <w:t xml:space="preserve"> térfogat</w:t>
            </w:r>
            <w:r>
              <w:rPr>
                <w:b/>
                <w:szCs w:val="22"/>
              </w:rPr>
              <w:t>a</w:t>
            </w:r>
            <w:r w:rsidRPr="00831917">
              <w:rPr>
                <w:b/>
                <w:szCs w:val="22"/>
              </w:rPr>
              <w:t xml:space="preserve"> </w:t>
            </w:r>
            <w:r w:rsidR="00222ADD" w:rsidRPr="00831917">
              <w:rPr>
                <w:b/>
                <w:szCs w:val="22"/>
              </w:rPr>
              <w:t>(ml)</w:t>
            </w:r>
            <w:r>
              <w:rPr>
                <w:b/>
                <w:szCs w:val="22"/>
              </w:rPr>
              <w:t xml:space="preserve"> adagonként</w:t>
            </w:r>
          </w:p>
        </w:tc>
      </w:tr>
      <w:tr w:rsidR="00222ADD" w:rsidRPr="00831917" w14:paraId="14BDCB22" w14:textId="77777777" w:rsidTr="00596EE7">
        <w:trPr>
          <w:cantSplit/>
        </w:trPr>
        <w:tc>
          <w:tcPr>
            <w:tcW w:w="1730" w:type="dxa"/>
          </w:tcPr>
          <w:p w14:paraId="78C4F074" w14:textId="0B77F08E" w:rsidR="00222ADD" w:rsidRPr="00831917" w:rsidRDefault="005B2973" w:rsidP="008A43DC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6</w:t>
            </w:r>
          </w:p>
        </w:tc>
        <w:tc>
          <w:tcPr>
            <w:tcW w:w="2523" w:type="dxa"/>
          </w:tcPr>
          <w:p w14:paraId="3649915F" w14:textId="13543973" w:rsidR="00222ADD" w:rsidRPr="00831917" w:rsidRDefault="00222ADD" w:rsidP="008A43DC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60</w:t>
            </w:r>
            <w:r w:rsidR="00070EF7">
              <w:rPr>
                <w:szCs w:val="22"/>
              </w:rPr>
              <w:t>–</w:t>
            </w:r>
            <w:r w:rsidRPr="00831917">
              <w:rPr>
                <w:szCs w:val="22"/>
              </w:rPr>
              <w:t>90</w:t>
            </w:r>
          </w:p>
        </w:tc>
        <w:tc>
          <w:tcPr>
            <w:tcW w:w="5528" w:type="dxa"/>
          </w:tcPr>
          <w:p w14:paraId="3F5AAD79" w14:textId="212CBDA8" w:rsidR="00222ADD" w:rsidRPr="00831917" w:rsidRDefault="00222ADD" w:rsidP="008A43DC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2,5</w:t>
            </w:r>
            <w:r w:rsidR="00070EF7">
              <w:rPr>
                <w:szCs w:val="22"/>
              </w:rPr>
              <w:t>–</w:t>
            </w:r>
            <w:r w:rsidR="005B2973">
              <w:rPr>
                <w:szCs w:val="22"/>
              </w:rPr>
              <w:t>5</w:t>
            </w:r>
          </w:p>
        </w:tc>
      </w:tr>
      <w:tr w:rsidR="00222ADD" w:rsidRPr="00831917" w14:paraId="386096B8" w14:textId="77777777" w:rsidTr="00596EE7">
        <w:trPr>
          <w:cantSplit/>
        </w:trPr>
        <w:tc>
          <w:tcPr>
            <w:tcW w:w="1730" w:type="dxa"/>
          </w:tcPr>
          <w:p w14:paraId="50269877" w14:textId="2FE2B9D8" w:rsidR="00222ADD" w:rsidRPr="00831917" w:rsidRDefault="00222ADD" w:rsidP="008A43DC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6</w:t>
            </w:r>
            <w:r w:rsidR="00070EF7">
              <w:rPr>
                <w:szCs w:val="22"/>
              </w:rPr>
              <w:t>–</w:t>
            </w:r>
            <w:r w:rsidR="005B2973">
              <w:rPr>
                <w:szCs w:val="22"/>
              </w:rPr>
              <w:t>12</w:t>
            </w:r>
          </w:p>
        </w:tc>
        <w:tc>
          <w:tcPr>
            <w:tcW w:w="2523" w:type="dxa"/>
          </w:tcPr>
          <w:p w14:paraId="73B3E126" w14:textId="28006D9C" w:rsidR="00222ADD" w:rsidRPr="00831917" w:rsidRDefault="00222ADD" w:rsidP="008A43DC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90</w:t>
            </w:r>
            <w:r w:rsidR="00070EF7">
              <w:rPr>
                <w:szCs w:val="22"/>
              </w:rPr>
              <w:t>–</w:t>
            </w:r>
            <w:r w:rsidRPr="00831917">
              <w:rPr>
                <w:szCs w:val="22"/>
              </w:rPr>
              <w:t>180</w:t>
            </w:r>
          </w:p>
        </w:tc>
        <w:tc>
          <w:tcPr>
            <w:tcW w:w="5528" w:type="dxa"/>
          </w:tcPr>
          <w:p w14:paraId="56D1596D" w14:textId="3379C0DB" w:rsidR="00222ADD" w:rsidRPr="00831917" w:rsidRDefault="00222ADD" w:rsidP="008A43DC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5</w:t>
            </w:r>
            <w:r w:rsidR="00070EF7">
              <w:rPr>
                <w:szCs w:val="22"/>
              </w:rPr>
              <w:t>–</w:t>
            </w:r>
            <w:r w:rsidRPr="00831917">
              <w:rPr>
                <w:szCs w:val="22"/>
              </w:rPr>
              <w:t>7,5</w:t>
            </w:r>
          </w:p>
        </w:tc>
      </w:tr>
      <w:tr w:rsidR="005B2973" w:rsidRPr="00831917" w14:paraId="43E57F90" w14:textId="77777777" w:rsidTr="00330B00">
        <w:trPr>
          <w:cantSplit/>
        </w:trPr>
        <w:tc>
          <w:tcPr>
            <w:tcW w:w="1730" w:type="dxa"/>
          </w:tcPr>
          <w:p w14:paraId="7DF32991" w14:textId="60E85A76" w:rsidR="005B2973" w:rsidRPr="00831917" w:rsidRDefault="005B2973" w:rsidP="008A43DC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16</w:t>
            </w:r>
          </w:p>
        </w:tc>
        <w:tc>
          <w:tcPr>
            <w:tcW w:w="2523" w:type="dxa"/>
          </w:tcPr>
          <w:p w14:paraId="748EA2A6" w14:textId="4CE356F4" w:rsidR="005B2973" w:rsidRPr="00831917" w:rsidRDefault="005B2973" w:rsidP="008A43DC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180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240</w:t>
            </w:r>
          </w:p>
        </w:tc>
        <w:tc>
          <w:tcPr>
            <w:tcW w:w="5528" w:type="dxa"/>
          </w:tcPr>
          <w:p w14:paraId="1F02A7A1" w14:textId="488BB2AB" w:rsidR="005B2973" w:rsidRPr="00831917" w:rsidRDefault="005B2973" w:rsidP="008A43DC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7,5</w:t>
            </w:r>
            <w:r w:rsidR="00070EF7">
              <w:rPr>
                <w:szCs w:val="22"/>
              </w:rPr>
              <w:t>–</w:t>
            </w:r>
            <w:r>
              <w:rPr>
                <w:szCs w:val="22"/>
              </w:rPr>
              <w:t>10</w:t>
            </w:r>
          </w:p>
        </w:tc>
      </w:tr>
      <w:tr w:rsidR="00222ADD" w:rsidRPr="00831917" w14:paraId="13B9A41E" w14:textId="77777777" w:rsidTr="00596EE7">
        <w:trPr>
          <w:cantSplit/>
        </w:trPr>
        <w:tc>
          <w:tcPr>
            <w:tcW w:w="1730" w:type="dxa"/>
          </w:tcPr>
          <w:p w14:paraId="6C82EECD" w14:textId="325236C5" w:rsidR="00222ADD" w:rsidRPr="00831917" w:rsidRDefault="005B2973" w:rsidP="008A43DC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nagyobb mint 16</w:t>
            </w:r>
          </w:p>
        </w:tc>
        <w:tc>
          <w:tcPr>
            <w:tcW w:w="2523" w:type="dxa"/>
          </w:tcPr>
          <w:p w14:paraId="76102621" w14:textId="170BE595" w:rsidR="00222ADD" w:rsidRPr="00831917" w:rsidRDefault="00222ADD" w:rsidP="008A43DC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250</w:t>
            </w:r>
          </w:p>
        </w:tc>
        <w:tc>
          <w:tcPr>
            <w:tcW w:w="5528" w:type="dxa"/>
          </w:tcPr>
          <w:p w14:paraId="6493C356" w14:textId="3E733994" w:rsidR="00222ADD" w:rsidRPr="00831917" w:rsidRDefault="005B2973" w:rsidP="008A43DC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</w:tbl>
    <w:p w14:paraId="53D9DFA0" w14:textId="77777777" w:rsidR="005644C0" w:rsidRDefault="005644C0" w:rsidP="00831917">
      <w:pPr>
        <w:spacing w:line="240" w:lineRule="auto"/>
        <w:rPr>
          <w:szCs w:val="22"/>
          <w:u w:val="single"/>
        </w:rPr>
      </w:pPr>
    </w:p>
    <w:p w14:paraId="7A3535FF" w14:textId="2F7BD4B8" w:rsidR="00D1134A" w:rsidRDefault="00D1134A" w:rsidP="00831917">
      <w:pPr>
        <w:spacing w:line="240" w:lineRule="auto"/>
        <w:rPr>
          <w:szCs w:val="22"/>
        </w:rPr>
      </w:pPr>
      <w:r>
        <w:rPr>
          <w:szCs w:val="22"/>
        </w:rPr>
        <w:t>Nagyon fiatal gyermekek kezeléséhez</w:t>
      </w:r>
      <w:r w:rsidR="00D25EA2" w:rsidRPr="00D93595">
        <w:rPr>
          <w:szCs w:val="22"/>
        </w:rPr>
        <w:t xml:space="preserve"> </w:t>
      </w:r>
      <w:r>
        <w:rPr>
          <w:szCs w:val="22"/>
        </w:rPr>
        <w:t xml:space="preserve">a </w:t>
      </w:r>
      <w:r w:rsidR="00D25EA2" w:rsidRPr="00D93595">
        <w:rPr>
          <w:szCs w:val="22"/>
        </w:rPr>
        <w:t xml:space="preserve">terápiás </w:t>
      </w:r>
      <w:r w:rsidR="00D25EA2">
        <w:rPr>
          <w:szCs w:val="22"/>
        </w:rPr>
        <w:t xml:space="preserve">adherencia és az adagolási pontosság növelése érdekében a </w:t>
      </w:r>
      <w:r>
        <w:rPr>
          <w:szCs w:val="22"/>
        </w:rPr>
        <w:t xml:space="preserve">többadagos </w:t>
      </w:r>
      <w:r w:rsidR="00D25EA2">
        <w:rPr>
          <w:szCs w:val="22"/>
        </w:rPr>
        <w:t>üveghez adagoló fecskendő biztosítható.</w:t>
      </w:r>
    </w:p>
    <w:p w14:paraId="0D997FB3" w14:textId="3C9C5D0D" w:rsidR="005A21CC" w:rsidRDefault="00D25EA2" w:rsidP="00831917">
      <w:pPr>
        <w:spacing w:line="240" w:lineRule="auto"/>
        <w:rPr>
          <w:szCs w:val="22"/>
        </w:rPr>
      </w:pPr>
      <w:r>
        <w:rPr>
          <w:szCs w:val="22"/>
        </w:rPr>
        <w:t>Szükség esetén az adagoló fecskendő idősebb gyermekeknél is használható (lásd az alábbi adagolási táblázatokat).</w:t>
      </w:r>
    </w:p>
    <w:p w14:paraId="347F32AD" w14:textId="77777777" w:rsidR="00D25EA2" w:rsidRDefault="00D25EA2" w:rsidP="00831917">
      <w:pPr>
        <w:spacing w:line="240" w:lineRule="auto"/>
        <w:rPr>
          <w:szCs w:val="22"/>
        </w:rPr>
      </w:pPr>
    </w:p>
    <w:p w14:paraId="22AA0D5D" w14:textId="0EE3882E" w:rsidR="00D25EA2" w:rsidRPr="0081717D" w:rsidRDefault="00D25EA2" w:rsidP="00831917">
      <w:pPr>
        <w:spacing w:line="240" w:lineRule="auto"/>
        <w:rPr>
          <w:szCs w:val="22"/>
        </w:rPr>
      </w:pPr>
      <w:r>
        <w:rPr>
          <w:szCs w:val="22"/>
        </w:rPr>
        <w:t>10 mg/ttkg</w:t>
      </w:r>
      <w:r w:rsidR="00D1134A">
        <w:rPr>
          <w:szCs w:val="22"/>
        </w:rPr>
        <w:t>-os dózis</w:t>
      </w:r>
      <w:r>
        <w:rPr>
          <w:szCs w:val="22"/>
        </w:rPr>
        <w:t xml:space="preserve"> adagolás</w:t>
      </w:r>
      <w:r w:rsidR="00D1134A">
        <w:rPr>
          <w:szCs w:val="22"/>
        </w:rPr>
        <w:t>á</w:t>
      </w:r>
      <w:r>
        <w:rPr>
          <w:szCs w:val="22"/>
        </w:rPr>
        <w:t xml:space="preserve">hoz egy „W” kg testtömegű gyermeknél a szükséges </w:t>
      </w:r>
      <w:r w:rsidR="00D1134A">
        <w:rPr>
          <w:szCs w:val="22"/>
        </w:rPr>
        <w:t xml:space="preserve">125 mg/5 ml hatáserősségű </w:t>
      </w:r>
      <w:r>
        <w:rPr>
          <w:szCs w:val="22"/>
        </w:rPr>
        <w:t xml:space="preserve">szuszpenzió térfogata (ml-ben): </w:t>
      </w:r>
      <w:r w:rsidRPr="0081717D">
        <w:rPr>
          <w:szCs w:val="22"/>
        </w:rPr>
        <w:t>(10 × W × 5)/125</w:t>
      </w:r>
    </w:p>
    <w:p w14:paraId="4B33FA91" w14:textId="716711E4" w:rsidR="00EB756F" w:rsidRPr="00D93595" w:rsidRDefault="00EB756F" w:rsidP="00831917">
      <w:pPr>
        <w:spacing w:line="240" w:lineRule="auto"/>
        <w:rPr>
          <w:szCs w:val="22"/>
        </w:rPr>
      </w:pPr>
      <w:r>
        <w:rPr>
          <w:szCs w:val="22"/>
        </w:rPr>
        <w:t>Az alábbi táblázat néhány példát mutat be a pediátriai adagoló fecskendővel</w:t>
      </w:r>
      <w:r w:rsidR="00D1134A">
        <w:rPr>
          <w:szCs w:val="22"/>
        </w:rPr>
        <w:t xml:space="preserve"> történő beadáshoz</w:t>
      </w:r>
      <w:r>
        <w:rPr>
          <w:szCs w:val="22"/>
        </w:rPr>
        <w:t xml:space="preserve"> számított adagokra</w:t>
      </w:r>
      <w:r w:rsidR="001C4E61">
        <w:rPr>
          <w:szCs w:val="22"/>
        </w:rPr>
        <w:t>,</w:t>
      </w:r>
      <w:r>
        <w:rPr>
          <w:szCs w:val="22"/>
        </w:rPr>
        <w:t xml:space="preserve"> ml-ben vagy mg-ban</w:t>
      </w:r>
      <w:r w:rsidR="001C4E61">
        <w:rPr>
          <w:szCs w:val="22"/>
        </w:rPr>
        <w:t xml:space="preserve"> kifejezve</w:t>
      </w:r>
      <w:r>
        <w:rPr>
          <w:szCs w:val="22"/>
        </w:rPr>
        <w:t>, a gyermek kg-ban</w:t>
      </w:r>
      <w:r w:rsidR="00D1134A">
        <w:rPr>
          <w:szCs w:val="22"/>
        </w:rPr>
        <w:t xml:space="preserve"> megadott testtömege alapján</w:t>
      </w:r>
      <w:r>
        <w:rPr>
          <w:szCs w:val="22"/>
        </w:rPr>
        <w:t>.</w:t>
      </w:r>
    </w:p>
    <w:p w14:paraId="719D1227" w14:textId="77777777" w:rsidR="005A21CC" w:rsidRDefault="005A21CC" w:rsidP="00831917">
      <w:pPr>
        <w:spacing w:line="240" w:lineRule="auto"/>
        <w:rPr>
          <w:szCs w:val="22"/>
        </w:rPr>
      </w:pPr>
    </w:p>
    <w:p w14:paraId="0268D8D4" w14:textId="15F7B773" w:rsidR="00EB756F" w:rsidRDefault="00EB756F" w:rsidP="00831917">
      <w:pPr>
        <w:spacing w:line="240" w:lineRule="auto"/>
        <w:rPr>
          <w:i/>
          <w:iCs/>
          <w:szCs w:val="22"/>
        </w:rPr>
      </w:pPr>
      <w:r w:rsidRPr="00D93595">
        <w:rPr>
          <w:i/>
          <w:iCs/>
          <w:szCs w:val="22"/>
        </w:rPr>
        <w:t>5. táblázat</w:t>
      </w:r>
      <w:r>
        <w:rPr>
          <w:i/>
          <w:iCs/>
          <w:szCs w:val="22"/>
        </w:rPr>
        <w:t xml:space="preserve">: </w:t>
      </w:r>
      <w:r w:rsidRPr="00D93595">
        <w:rPr>
          <w:i/>
          <w:iCs/>
          <w:szCs w:val="22"/>
        </w:rPr>
        <w:t>10 mg/ttkg/adag (Pediátriai adagoló fecskendő)</w:t>
      </w:r>
    </w:p>
    <w:p w14:paraId="5364EC7E" w14:textId="77777777" w:rsidR="0081717D" w:rsidRDefault="0081717D" w:rsidP="00831917">
      <w:pPr>
        <w:spacing w:line="240" w:lineRule="auto"/>
        <w:rPr>
          <w:i/>
          <w:iCs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2523"/>
        <w:gridCol w:w="5528"/>
      </w:tblGrid>
      <w:tr w:rsidR="00EB756F" w:rsidRPr="00EB756F" w14:paraId="4B2361F8" w14:textId="77777777" w:rsidTr="004D1873">
        <w:trPr>
          <w:cantSplit/>
        </w:trPr>
        <w:tc>
          <w:tcPr>
            <w:tcW w:w="4253" w:type="dxa"/>
            <w:gridSpan w:val="2"/>
          </w:tcPr>
          <w:p w14:paraId="3AB2F2D1" w14:textId="77777777" w:rsidR="00EB756F" w:rsidRPr="00EB756F" w:rsidRDefault="00EB756F" w:rsidP="00EB756F">
            <w:pPr>
              <w:keepNext/>
              <w:spacing w:line="240" w:lineRule="auto"/>
              <w:rPr>
                <w:b/>
                <w:szCs w:val="22"/>
              </w:rPr>
            </w:pPr>
          </w:p>
        </w:tc>
        <w:tc>
          <w:tcPr>
            <w:tcW w:w="5528" w:type="dxa"/>
          </w:tcPr>
          <w:p w14:paraId="7E1A1EFA" w14:textId="676AC8E4" w:rsidR="00EB756F" w:rsidRPr="00EB756F" w:rsidRDefault="00EB756F" w:rsidP="00EB756F">
            <w:pPr>
              <w:keepNext/>
              <w:spacing w:line="240" w:lineRule="auto"/>
              <w:rPr>
                <w:b/>
                <w:szCs w:val="22"/>
              </w:rPr>
            </w:pPr>
            <w:r w:rsidRPr="00EB756F">
              <w:rPr>
                <w:b/>
                <w:szCs w:val="22"/>
              </w:rPr>
              <w:t>Az elkészített szuszpenzió alkalmazandó térfogata (ml) adagonként</w:t>
            </w:r>
          </w:p>
        </w:tc>
      </w:tr>
      <w:tr w:rsidR="00D1134A" w:rsidRPr="00EB756F" w14:paraId="55DB9756" w14:textId="77777777" w:rsidTr="00541B8A">
        <w:trPr>
          <w:cantSplit/>
        </w:trPr>
        <w:tc>
          <w:tcPr>
            <w:tcW w:w="1730" w:type="dxa"/>
          </w:tcPr>
          <w:p w14:paraId="748CFCBF" w14:textId="4A3A519A" w:rsidR="00D1134A" w:rsidRPr="00EB756F" w:rsidRDefault="00D1134A" w:rsidP="00D1134A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Testtömeg-tartomány (kg)</w:t>
            </w:r>
          </w:p>
        </w:tc>
        <w:tc>
          <w:tcPr>
            <w:tcW w:w="2523" w:type="dxa"/>
          </w:tcPr>
          <w:p w14:paraId="5FC91B07" w14:textId="1446DCCD" w:rsidR="00D1134A" w:rsidRPr="00EB756F" w:rsidRDefault="00D1134A" w:rsidP="00D1134A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Adag (mg), naponta kétszer</w:t>
            </w:r>
          </w:p>
        </w:tc>
        <w:tc>
          <w:tcPr>
            <w:tcW w:w="5528" w:type="dxa"/>
          </w:tcPr>
          <w:p w14:paraId="411ECE42" w14:textId="7D916BA7" w:rsidR="00D1134A" w:rsidRPr="00EB756F" w:rsidRDefault="001C309F" w:rsidP="00D1134A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125 mg/5 ml hatáserősségű szuszpenzió dózisa, naponta kétszer</w:t>
            </w:r>
            <w:r w:rsidDel="00EB1123">
              <w:rPr>
                <w:b/>
                <w:szCs w:val="22"/>
              </w:rPr>
              <w:t xml:space="preserve"> </w:t>
            </w:r>
          </w:p>
        </w:tc>
      </w:tr>
      <w:tr w:rsidR="00EB756F" w:rsidRPr="00EB756F" w14:paraId="43389DBF" w14:textId="77777777" w:rsidTr="00541B8A">
        <w:trPr>
          <w:cantSplit/>
        </w:trPr>
        <w:tc>
          <w:tcPr>
            <w:tcW w:w="1730" w:type="dxa"/>
          </w:tcPr>
          <w:p w14:paraId="6449A484" w14:textId="08728541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523" w:type="dxa"/>
          </w:tcPr>
          <w:p w14:paraId="783959D4" w14:textId="08364D2B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40</w:t>
            </w:r>
          </w:p>
        </w:tc>
        <w:tc>
          <w:tcPr>
            <w:tcW w:w="5528" w:type="dxa"/>
          </w:tcPr>
          <w:p w14:paraId="4B382036" w14:textId="5BB6948C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1,6</w:t>
            </w:r>
          </w:p>
        </w:tc>
      </w:tr>
      <w:tr w:rsidR="00EB756F" w:rsidRPr="00EB756F" w14:paraId="6435FA9A" w14:textId="77777777" w:rsidTr="00541B8A">
        <w:trPr>
          <w:cantSplit/>
        </w:trPr>
        <w:tc>
          <w:tcPr>
            <w:tcW w:w="1730" w:type="dxa"/>
          </w:tcPr>
          <w:p w14:paraId="6E0871F7" w14:textId="2D9CD7AF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2523" w:type="dxa"/>
          </w:tcPr>
          <w:p w14:paraId="5508F8CE" w14:textId="0BE77CDD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5528" w:type="dxa"/>
          </w:tcPr>
          <w:p w14:paraId="543DDC37" w14:textId="2DE5D9B3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2,4</w:t>
            </w:r>
          </w:p>
        </w:tc>
      </w:tr>
      <w:tr w:rsidR="00EB756F" w:rsidRPr="00EB756F" w14:paraId="441FECC8" w14:textId="77777777" w:rsidTr="00541B8A">
        <w:trPr>
          <w:cantSplit/>
        </w:trPr>
        <w:tc>
          <w:tcPr>
            <w:tcW w:w="1730" w:type="dxa"/>
          </w:tcPr>
          <w:p w14:paraId="4BBC1D1F" w14:textId="1BCE04EB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2523" w:type="dxa"/>
          </w:tcPr>
          <w:p w14:paraId="0AB5FC1E" w14:textId="429BE83F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80</w:t>
            </w:r>
          </w:p>
        </w:tc>
        <w:tc>
          <w:tcPr>
            <w:tcW w:w="5528" w:type="dxa"/>
          </w:tcPr>
          <w:p w14:paraId="0295B3D0" w14:textId="04B1DA60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3,2</w:t>
            </w:r>
          </w:p>
        </w:tc>
      </w:tr>
      <w:tr w:rsidR="00EB756F" w:rsidRPr="00EB756F" w14:paraId="5D29D694" w14:textId="77777777" w:rsidTr="00541B8A">
        <w:trPr>
          <w:cantSplit/>
        </w:trPr>
        <w:tc>
          <w:tcPr>
            <w:tcW w:w="1730" w:type="dxa"/>
          </w:tcPr>
          <w:p w14:paraId="17CB93AC" w14:textId="442752F7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523" w:type="dxa"/>
          </w:tcPr>
          <w:p w14:paraId="77ECDDE3" w14:textId="55E3ED02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5528" w:type="dxa"/>
          </w:tcPr>
          <w:p w14:paraId="55093457" w14:textId="02F865C1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4,0</w:t>
            </w:r>
          </w:p>
        </w:tc>
      </w:tr>
      <w:tr w:rsidR="00EB756F" w:rsidRPr="00EB756F" w14:paraId="0FEF70C3" w14:textId="77777777" w:rsidTr="00541B8A">
        <w:trPr>
          <w:cantSplit/>
        </w:trPr>
        <w:tc>
          <w:tcPr>
            <w:tcW w:w="1730" w:type="dxa"/>
          </w:tcPr>
          <w:p w14:paraId="05DBD0DF" w14:textId="4002D331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  <w:tc>
          <w:tcPr>
            <w:tcW w:w="2523" w:type="dxa"/>
          </w:tcPr>
          <w:p w14:paraId="5CE8B634" w14:textId="032042C8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120</w:t>
            </w:r>
          </w:p>
        </w:tc>
        <w:tc>
          <w:tcPr>
            <w:tcW w:w="5528" w:type="dxa"/>
          </w:tcPr>
          <w:p w14:paraId="66A2D5C2" w14:textId="6B867895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4,8</w:t>
            </w:r>
          </w:p>
        </w:tc>
      </w:tr>
      <w:tr w:rsidR="00EB756F" w:rsidRPr="00EB756F" w14:paraId="14A1B21B" w14:textId="77777777" w:rsidTr="00541B8A">
        <w:trPr>
          <w:cantSplit/>
        </w:trPr>
        <w:tc>
          <w:tcPr>
            <w:tcW w:w="1730" w:type="dxa"/>
          </w:tcPr>
          <w:p w14:paraId="6FC590ED" w14:textId="623366DD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2523" w:type="dxa"/>
          </w:tcPr>
          <w:p w14:paraId="0955B4C2" w14:textId="1E132712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140</w:t>
            </w:r>
          </w:p>
        </w:tc>
        <w:tc>
          <w:tcPr>
            <w:tcW w:w="5528" w:type="dxa"/>
          </w:tcPr>
          <w:p w14:paraId="3804363E" w14:textId="2243BEE3" w:rsidR="00EB756F" w:rsidRPr="00EB756F" w:rsidRDefault="00EB756F" w:rsidP="00EB756F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5.6</w:t>
            </w:r>
          </w:p>
        </w:tc>
      </w:tr>
    </w:tbl>
    <w:p w14:paraId="45D63A4C" w14:textId="77777777" w:rsidR="00EB756F" w:rsidRDefault="00EB756F" w:rsidP="00831917">
      <w:pPr>
        <w:spacing w:line="240" w:lineRule="auto"/>
        <w:rPr>
          <w:i/>
          <w:iCs/>
          <w:szCs w:val="22"/>
        </w:rPr>
      </w:pPr>
    </w:p>
    <w:p w14:paraId="24B1C8B3" w14:textId="6284CAFC" w:rsidR="001C4E61" w:rsidRPr="00D93595" w:rsidRDefault="00D1134A" w:rsidP="001C4E61">
      <w:pPr>
        <w:spacing w:line="240" w:lineRule="auto"/>
        <w:rPr>
          <w:szCs w:val="22"/>
        </w:rPr>
      </w:pPr>
      <w:r>
        <w:rPr>
          <w:szCs w:val="22"/>
        </w:rPr>
        <w:t>15 mg/ttkg-os dózis adagolásához</w:t>
      </w:r>
      <w:r w:rsidR="001C4E61">
        <w:rPr>
          <w:szCs w:val="22"/>
        </w:rPr>
        <w:t xml:space="preserve"> egy „W” kg testtömegű gyermeknél a szükséges </w:t>
      </w:r>
      <w:r>
        <w:rPr>
          <w:szCs w:val="22"/>
        </w:rPr>
        <w:t xml:space="preserve">125 mg/5 ml hatáserősségű </w:t>
      </w:r>
      <w:r w:rsidR="001C4E61">
        <w:rPr>
          <w:szCs w:val="22"/>
        </w:rPr>
        <w:t>szuszpenzió térfogata (ml-ben):</w:t>
      </w:r>
      <w:r w:rsidR="0081717D">
        <w:rPr>
          <w:szCs w:val="22"/>
        </w:rPr>
        <w:t xml:space="preserve"> </w:t>
      </w:r>
      <w:r w:rsidR="001C4E61" w:rsidRPr="00D93595">
        <w:rPr>
          <w:szCs w:val="22"/>
        </w:rPr>
        <w:t>(15 × W × 5)/125</w:t>
      </w:r>
    </w:p>
    <w:p w14:paraId="3FF41858" w14:textId="77777777" w:rsidR="001C4E61" w:rsidRPr="00D93595" w:rsidRDefault="001C4E61" w:rsidP="00831917">
      <w:pPr>
        <w:spacing w:line="240" w:lineRule="auto"/>
        <w:rPr>
          <w:szCs w:val="22"/>
        </w:rPr>
      </w:pPr>
    </w:p>
    <w:p w14:paraId="1EAC161C" w14:textId="77777777" w:rsidR="00D1134A" w:rsidRPr="00171FBD" w:rsidRDefault="00D1134A" w:rsidP="00D1134A">
      <w:pPr>
        <w:spacing w:line="240" w:lineRule="auto"/>
        <w:rPr>
          <w:szCs w:val="22"/>
        </w:rPr>
      </w:pPr>
      <w:r>
        <w:rPr>
          <w:szCs w:val="22"/>
        </w:rPr>
        <w:t>Az alábbi táblázat néhány példát mutat be a pediátriai adagoló fecskendővel történő beadáshoz számított adagokra, ml-ben vagy mg-ban kifejezve, a gyermek kg-ban megadott testtömege alapján.</w:t>
      </w:r>
    </w:p>
    <w:p w14:paraId="006A0C0A" w14:textId="77777777" w:rsidR="00EB756F" w:rsidRDefault="00EB756F" w:rsidP="00831917">
      <w:pPr>
        <w:spacing w:line="240" w:lineRule="auto"/>
        <w:rPr>
          <w:i/>
          <w:iCs/>
          <w:szCs w:val="22"/>
        </w:rPr>
      </w:pPr>
    </w:p>
    <w:p w14:paraId="65F48B32" w14:textId="5640689D" w:rsidR="00EB756F" w:rsidRDefault="00EB756F" w:rsidP="00EB756F">
      <w:pPr>
        <w:spacing w:line="240" w:lineRule="auto"/>
        <w:rPr>
          <w:i/>
          <w:iCs/>
          <w:szCs w:val="22"/>
        </w:rPr>
      </w:pPr>
      <w:r>
        <w:rPr>
          <w:i/>
          <w:iCs/>
          <w:szCs w:val="22"/>
        </w:rPr>
        <w:t>6</w:t>
      </w:r>
      <w:r w:rsidRPr="00541B8A">
        <w:rPr>
          <w:i/>
          <w:iCs/>
          <w:szCs w:val="22"/>
        </w:rPr>
        <w:t>. táblázat</w:t>
      </w:r>
      <w:r>
        <w:rPr>
          <w:i/>
          <w:iCs/>
          <w:szCs w:val="22"/>
        </w:rPr>
        <w:t>:</w:t>
      </w:r>
      <w:r w:rsidRPr="00541B8A">
        <w:rPr>
          <w:i/>
          <w:iCs/>
          <w:szCs w:val="22"/>
        </w:rPr>
        <w:t xml:space="preserve"> 1</w:t>
      </w:r>
      <w:r>
        <w:rPr>
          <w:i/>
          <w:iCs/>
          <w:szCs w:val="22"/>
        </w:rPr>
        <w:t>5</w:t>
      </w:r>
      <w:r w:rsidRPr="00541B8A">
        <w:rPr>
          <w:i/>
          <w:iCs/>
          <w:szCs w:val="22"/>
        </w:rPr>
        <w:t xml:space="preserve"> mg/ttkg/adag (Pediátriai adagoló fecskendő)</w:t>
      </w:r>
    </w:p>
    <w:p w14:paraId="75AA82DB" w14:textId="77777777" w:rsidR="0081717D" w:rsidRDefault="0081717D" w:rsidP="00EB756F">
      <w:pPr>
        <w:spacing w:line="240" w:lineRule="auto"/>
        <w:rPr>
          <w:i/>
          <w:iCs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2523"/>
        <w:gridCol w:w="5528"/>
      </w:tblGrid>
      <w:tr w:rsidR="00EB756F" w:rsidRPr="00EB756F" w14:paraId="5A329FDE" w14:textId="77777777" w:rsidTr="00541B8A">
        <w:trPr>
          <w:cantSplit/>
        </w:trPr>
        <w:tc>
          <w:tcPr>
            <w:tcW w:w="4253" w:type="dxa"/>
            <w:gridSpan w:val="2"/>
          </w:tcPr>
          <w:p w14:paraId="718CF9F4" w14:textId="77777777" w:rsidR="00EB756F" w:rsidRPr="00EB756F" w:rsidRDefault="00EB756F" w:rsidP="00541B8A">
            <w:pPr>
              <w:keepNext/>
              <w:spacing w:line="240" w:lineRule="auto"/>
              <w:rPr>
                <w:b/>
                <w:szCs w:val="22"/>
              </w:rPr>
            </w:pPr>
          </w:p>
        </w:tc>
        <w:tc>
          <w:tcPr>
            <w:tcW w:w="5528" w:type="dxa"/>
          </w:tcPr>
          <w:p w14:paraId="485E06AB" w14:textId="77777777" w:rsidR="00EB756F" w:rsidRPr="00EB756F" w:rsidRDefault="00EB756F" w:rsidP="00541B8A">
            <w:pPr>
              <w:keepNext/>
              <w:spacing w:line="240" w:lineRule="auto"/>
              <w:rPr>
                <w:b/>
                <w:szCs w:val="22"/>
              </w:rPr>
            </w:pPr>
            <w:r w:rsidRPr="00EB756F">
              <w:rPr>
                <w:b/>
                <w:szCs w:val="22"/>
              </w:rPr>
              <w:t>Az elkészített szuszpenzió alkalmazandó térfogata (ml) adagonként</w:t>
            </w:r>
          </w:p>
        </w:tc>
      </w:tr>
      <w:tr w:rsidR="001C309F" w:rsidRPr="00EB756F" w14:paraId="63288CAE" w14:textId="77777777" w:rsidTr="00541B8A">
        <w:trPr>
          <w:cantSplit/>
        </w:trPr>
        <w:tc>
          <w:tcPr>
            <w:tcW w:w="1730" w:type="dxa"/>
          </w:tcPr>
          <w:p w14:paraId="632BE801" w14:textId="3805E191" w:rsidR="001C309F" w:rsidRPr="00EB756F" w:rsidRDefault="001C309F" w:rsidP="001C309F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Testtömeg-tartomány (kg)</w:t>
            </w:r>
          </w:p>
        </w:tc>
        <w:tc>
          <w:tcPr>
            <w:tcW w:w="2523" w:type="dxa"/>
          </w:tcPr>
          <w:p w14:paraId="26705ED5" w14:textId="4B014B06" w:rsidR="001C309F" w:rsidRPr="00EB756F" w:rsidRDefault="001C309F" w:rsidP="001C309F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Adag (mg), naponta kétszer</w:t>
            </w:r>
          </w:p>
        </w:tc>
        <w:tc>
          <w:tcPr>
            <w:tcW w:w="5528" w:type="dxa"/>
          </w:tcPr>
          <w:p w14:paraId="3FF2DD82" w14:textId="44DE4C49" w:rsidR="001C309F" w:rsidRPr="00EB756F" w:rsidRDefault="001C309F" w:rsidP="001C309F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125 mg/5 ml hatáserősségű szuszpenzió dózisa, naponta kétszer</w:t>
            </w:r>
          </w:p>
        </w:tc>
      </w:tr>
      <w:tr w:rsidR="00EB756F" w:rsidRPr="00EB756F" w14:paraId="4CF303F8" w14:textId="77777777" w:rsidTr="00541B8A">
        <w:trPr>
          <w:cantSplit/>
        </w:trPr>
        <w:tc>
          <w:tcPr>
            <w:tcW w:w="1730" w:type="dxa"/>
          </w:tcPr>
          <w:p w14:paraId="25A9E1DA" w14:textId="77777777" w:rsidR="00EB756F" w:rsidRPr="00EB756F" w:rsidRDefault="00EB756F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523" w:type="dxa"/>
          </w:tcPr>
          <w:p w14:paraId="014A3E97" w14:textId="47FD697F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5528" w:type="dxa"/>
          </w:tcPr>
          <w:p w14:paraId="184FEAE5" w14:textId="7F52DDF8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2,4</w:t>
            </w:r>
          </w:p>
        </w:tc>
      </w:tr>
      <w:tr w:rsidR="00EB756F" w:rsidRPr="00EB756F" w14:paraId="01CC2647" w14:textId="77777777" w:rsidTr="00541B8A">
        <w:trPr>
          <w:cantSplit/>
        </w:trPr>
        <w:tc>
          <w:tcPr>
            <w:tcW w:w="1730" w:type="dxa"/>
          </w:tcPr>
          <w:p w14:paraId="21EC2FF4" w14:textId="77777777" w:rsidR="00EB756F" w:rsidRPr="00EB756F" w:rsidRDefault="00EB756F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2523" w:type="dxa"/>
          </w:tcPr>
          <w:p w14:paraId="7CF8602E" w14:textId="0FC080C4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90</w:t>
            </w:r>
          </w:p>
        </w:tc>
        <w:tc>
          <w:tcPr>
            <w:tcW w:w="5528" w:type="dxa"/>
          </w:tcPr>
          <w:p w14:paraId="5F8EBBEC" w14:textId="79AB20E6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3,6</w:t>
            </w:r>
          </w:p>
        </w:tc>
      </w:tr>
      <w:tr w:rsidR="00EB756F" w:rsidRPr="00EB756F" w14:paraId="08540C89" w14:textId="77777777" w:rsidTr="00541B8A">
        <w:trPr>
          <w:cantSplit/>
        </w:trPr>
        <w:tc>
          <w:tcPr>
            <w:tcW w:w="1730" w:type="dxa"/>
          </w:tcPr>
          <w:p w14:paraId="0FE52798" w14:textId="77777777" w:rsidR="00EB756F" w:rsidRPr="00EB756F" w:rsidRDefault="00EB756F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2523" w:type="dxa"/>
          </w:tcPr>
          <w:p w14:paraId="652CB5BB" w14:textId="37075C19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120</w:t>
            </w:r>
          </w:p>
        </w:tc>
        <w:tc>
          <w:tcPr>
            <w:tcW w:w="5528" w:type="dxa"/>
          </w:tcPr>
          <w:p w14:paraId="7F44AAA9" w14:textId="1078D39C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4,8</w:t>
            </w:r>
          </w:p>
        </w:tc>
      </w:tr>
      <w:tr w:rsidR="00EB756F" w:rsidRPr="00EB756F" w14:paraId="7DDD5470" w14:textId="77777777" w:rsidTr="00541B8A">
        <w:trPr>
          <w:cantSplit/>
        </w:trPr>
        <w:tc>
          <w:tcPr>
            <w:tcW w:w="1730" w:type="dxa"/>
          </w:tcPr>
          <w:p w14:paraId="1B71900E" w14:textId="77777777" w:rsidR="00EB756F" w:rsidRPr="00EB756F" w:rsidRDefault="00EB756F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523" w:type="dxa"/>
          </w:tcPr>
          <w:p w14:paraId="6EB029F9" w14:textId="20CFAF22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150</w:t>
            </w:r>
          </w:p>
        </w:tc>
        <w:tc>
          <w:tcPr>
            <w:tcW w:w="5528" w:type="dxa"/>
          </w:tcPr>
          <w:p w14:paraId="77471AD5" w14:textId="2D97F4AB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6,0</w:t>
            </w:r>
          </w:p>
        </w:tc>
      </w:tr>
      <w:tr w:rsidR="00EB756F" w:rsidRPr="00EB756F" w14:paraId="30C0BF6B" w14:textId="77777777" w:rsidTr="00541B8A">
        <w:trPr>
          <w:cantSplit/>
        </w:trPr>
        <w:tc>
          <w:tcPr>
            <w:tcW w:w="1730" w:type="dxa"/>
          </w:tcPr>
          <w:p w14:paraId="2EFD3EA8" w14:textId="77777777" w:rsidR="00EB756F" w:rsidRPr="00EB756F" w:rsidRDefault="00EB756F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  <w:tc>
          <w:tcPr>
            <w:tcW w:w="2523" w:type="dxa"/>
          </w:tcPr>
          <w:p w14:paraId="44597126" w14:textId="36CB0822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180</w:t>
            </w:r>
          </w:p>
        </w:tc>
        <w:tc>
          <w:tcPr>
            <w:tcW w:w="5528" w:type="dxa"/>
          </w:tcPr>
          <w:p w14:paraId="36568889" w14:textId="504EA7C2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7,2</w:t>
            </w:r>
          </w:p>
        </w:tc>
      </w:tr>
      <w:tr w:rsidR="00EB756F" w:rsidRPr="00EB756F" w14:paraId="1AE720BF" w14:textId="77777777" w:rsidTr="00541B8A">
        <w:trPr>
          <w:cantSplit/>
        </w:trPr>
        <w:tc>
          <w:tcPr>
            <w:tcW w:w="1730" w:type="dxa"/>
          </w:tcPr>
          <w:p w14:paraId="6D7C48EE" w14:textId="77777777" w:rsidR="00EB756F" w:rsidRPr="00EB756F" w:rsidRDefault="00EB756F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2523" w:type="dxa"/>
          </w:tcPr>
          <w:p w14:paraId="5406C33A" w14:textId="1F391F60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210</w:t>
            </w:r>
          </w:p>
        </w:tc>
        <w:tc>
          <w:tcPr>
            <w:tcW w:w="5528" w:type="dxa"/>
          </w:tcPr>
          <w:p w14:paraId="227C7026" w14:textId="56298086" w:rsidR="00EB756F" w:rsidRPr="00EB756F" w:rsidRDefault="001C4E61" w:rsidP="00541B8A">
            <w:pPr>
              <w:keepNext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8,4</w:t>
            </w:r>
          </w:p>
        </w:tc>
      </w:tr>
    </w:tbl>
    <w:p w14:paraId="1EB33F11" w14:textId="77777777" w:rsidR="00EB756F" w:rsidRPr="00D93595" w:rsidRDefault="00EB756F" w:rsidP="00831917">
      <w:pPr>
        <w:spacing w:line="240" w:lineRule="auto"/>
        <w:rPr>
          <w:i/>
          <w:iCs/>
          <w:szCs w:val="22"/>
        </w:rPr>
      </w:pPr>
    </w:p>
    <w:p w14:paraId="1D413748" w14:textId="77777777" w:rsidR="005A21CC" w:rsidRPr="00831917" w:rsidRDefault="005A21CC" w:rsidP="00831917">
      <w:pPr>
        <w:spacing w:line="240" w:lineRule="auto"/>
        <w:rPr>
          <w:szCs w:val="22"/>
          <w:u w:val="single"/>
        </w:rPr>
      </w:pPr>
    </w:p>
    <w:p w14:paraId="6864D6F6" w14:textId="77777777" w:rsidR="005644C0" w:rsidRPr="00831917" w:rsidRDefault="005644C0" w:rsidP="00831917">
      <w:pPr>
        <w:keepNext/>
        <w:spacing w:line="240" w:lineRule="auto"/>
        <w:rPr>
          <w:i/>
          <w:szCs w:val="22"/>
        </w:rPr>
      </w:pPr>
      <w:r w:rsidRPr="00831917">
        <w:rPr>
          <w:i/>
          <w:szCs w:val="22"/>
        </w:rPr>
        <w:t>Vesekárosodás</w:t>
      </w:r>
    </w:p>
    <w:p w14:paraId="7F979366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szCs w:val="22"/>
        </w:rPr>
        <w:t>A cefuroxim</w:t>
      </w:r>
      <w:r w:rsidRPr="00831917">
        <w:rPr>
          <w:szCs w:val="22"/>
        </w:rPr>
        <w:noBreakHyphen/>
        <w:t xml:space="preserve">axetil biztonságosságát és hatásosságát veseelégtelenségben szenvedő betegeknél nem igazolták. A cefuroximot elsősorban a vesék választják ki. A vesefunkció jelentős mértékű károsodása </w:t>
      </w:r>
      <w:r w:rsidRPr="00831917">
        <w:rPr>
          <w:szCs w:val="22"/>
        </w:rPr>
        <w:lastRenderedPageBreak/>
        <w:t>esetében a Zinnat adagjának csökkentése javasolt, a lassúbb kiválasztódás ellensúlyozására</w:t>
      </w:r>
      <w:r w:rsidRPr="00831917">
        <w:rPr>
          <w:noProof/>
          <w:szCs w:val="22"/>
        </w:rPr>
        <w:t>. A cefuroxim dialízissel hatásosan eltávolítható.</w:t>
      </w:r>
    </w:p>
    <w:p w14:paraId="74FEAFCE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69AB667F" w14:textId="1F215CEB" w:rsidR="005644C0" w:rsidRPr="00831917" w:rsidRDefault="005A21CC" w:rsidP="00831917">
      <w:pPr>
        <w:keepNext/>
        <w:spacing w:line="240" w:lineRule="auto"/>
        <w:rPr>
          <w:i/>
          <w:szCs w:val="22"/>
        </w:rPr>
      </w:pPr>
      <w:r>
        <w:rPr>
          <w:i/>
          <w:szCs w:val="22"/>
        </w:rPr>
        <w:t>7</w:t>
      </w:r>
      <w:r w:rsidR="005644C0" w:rsidRPr="00831917">
        <w:rPr>
          <w:i/>
          <w:szCs w:val="22"/>
        </w:rPr>
        <w:t>. táblázat. A Zinnat ajánlott adagjai vesekárosodás esetén</w:t>
      </w:r>
    </w:p>
    <w:p w14:paraId="6F880F4B" w14:textId="77777777" w:rsidR="005644C0" w:rsidRPr="00831917" w:rsidRDefault="005644C0" w:rsidP="00831917">
      <w:pPr>
        <w:keepNext/>
        <w:spacing w:line="240" w:lineRule="auto"/>
        <w:rPr>
          <w:szCs w:val="22"/>
          <w:u w:val="single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2"/>
        <w:gridCol w:w="1232"/>
        <w:gridCol w:w="4548"/>
      </w:tblGrid>
      <w:tr w:rsidR="005644C0" w:rsidRPr="00831917" w14:paraId="3F55F658" w14:textId="77777777" w:rsidTr="00C16A8A">
        <w:tc>
          <w:tcPr>
            <w:tcW w:w="3292" w:type="dxa"/>
          </w:tcPr>
          <w:p w14:paraId="51BFA56F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Kreatinin</w:t>
            </w:r>
            <w:r w:rsidRPr="00831917">
              <w:rPr>
                <w:b/>
                <w:szCs w:val="22"/>
              </w:rPr>
              <w:noBreakHyphen/>
              <w:t>clearance</w:t>
            </w:r>
          </w:p>
        </w:tc>
        <w:tc>
          <w:tcPr>
            <w:tcW w:w="1232" w:type="dxa"/>
          </w:tcPr>
          <w:p w14:paraId="403A7076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t</w:t>
            </w:r>
            <w:r w:rsidRPr="00831917">
              <w:rPr>
                <w:b/>
                <w:szCs w:val="22"/>
                <w:vertAlign w:val="subscript"/>
              </w:rPr>
              <w:t xml:space="preserve">1/2 </w:t>
            </w:r>
            <w:r w:rsidRPr="00831917">
              <w:rPr>
                <w:b/>
                <w:szCs w:val="22"/>
              </w:rPr>
              <w:t>(óra)</w:t>
            </w:r>
          </w:p>
        </w:tc>
        <w:tc>
          <w:tcPr>
            <w:tcW w:w="4548" w:type="dxa"/>
          </w:tcPr>
          <w:p w14:paraId="1CF9303E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Ajánlott adagolás</w:t>
            </w:r>
          </w:p>
          <w:p w14:paraId="1EBC780B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</w:p>
        </w:tc>
      </w:tr>
      <w:tr w:rsidR="005644C0" w:rsidRPr="00831917" w14:paraId="5C1CD077" w14:textId="77777777" w:rsidTr="00C16A8A">
        <w:tc>
          <w:tcPr>
            <w:tcW w:w="3292" w:type="dxa"/>
          </w:tcPr>
          <w:p w14:paraId="5FD85839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≥ 30 ml/perc/1,73 m</w:t>
            </w:r>
            <w:r w:rsidRPr="00831917">
              <w:rPr>
                <w:szCs w:val="22"/>
                <w:vertAlign w:val="superscript"/>
              </w:rPr>
              <w:t>2</w:t>
            </w:r>
          </w:p>
        </w:tc>
        <w:tc>
          <w:tcPr>
            <w:tcW w:w="1232" w:type="dxa"/>
          </w:tcPr>
          <w:p w14:paraId="09BD5CC6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1,4</w:t>
            </w:r>
            <w:r w:rsidRPr="00831917">
              <w:rPr>
                <w:szCs w:val="22"/>
              </w:rPr>
              <w:noBreakHyphen/>
              <w:t>2,4</w:t>
            </w:r>
          </w:p>
        </w:tc>
        <w:tc>
          <w:tcPr>
            <w:tcW w:w="4548" w:type="dxa"/>
          </w:tcPr>
          <w:p w14:paraId="409CD825" w14:textId="3BA47811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Dózismódosítás nem szükséges standard dózis</w:t>
            </w:r>
            <w:r w:rsidR="00D13729">
              <w:rPr>
                <w:szCs w:val="22"/>
              </w:rPr>
              <w:t xml:space="preserve"> esetén</w:t>
            </w:r>
            <w:r w:rsidRPr="00831917">
              <w:rPr>
                <w:szCs w:val="22"/>
              </w:rPr>
              <w:t>: 125 mg</w:t>
            </w:r>
            <w:r w:rsidRPr="00831917">
              <w:rPr>
                <w:szCs w:val="22"/>
              </w:rPr>
              <w:noBreakHyphen/>
              <w:t>500 mg naponta kétszer</w:t>
            </w:r>
          </w:p>
        </w:tc>
      </w:tr>
      <w:tr w:rsidR="005644C0" w:rsidRPr="00831917" w14:paraId="107D1262" w14:textId="77777777" w:rsidTr="00C16A8A">
        <w:tc>
          <w:tcPr>
            <w:tcW w:w="3292" w:type="dxa"/>
          </w:tcPr>
          <w:p w14:paraId="58765AF1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10</w:t>
            </w:r>
            <w:r w:rsidRPr="00831917">
              <w:rPr>
                <w:szCs w:val="22"/>
              </w:rPr>
              <w:noBreakHyphen/>
              <w:t>29 ml/perc/1,73 m</w:t>
            </w:r>
            <w:r w:rsidRPr="00831917">
              <w:rPr>
                <w:szCs w:val="22"/>
                <w:vertAlign w:val="superscript"/>
              </w:rPr>
              <w:t>2</w:t>
            </w:r>
          </w:p>
        </w:tc>
        <w:tc>
          <w:tcPr>
            <w:tcW w:w="1232" w:type="dxa"/>
          </w:tcPr>
          <w:p w14:paraId="4F8BB71A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4,6</w:t>
            </w:r>
          </w:p>
        </w:tc>
        <w:tc>
          <w:tcPr>
            <w:tcW w:w="4548" w:type="dxa"/>
          </w:tcPr>
          <w:p w14:paraId="3DFC3B55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Standard egyéni adag, 24 óránként adva</w:t>
            </w:r>
          </w:p>
        </w:tc>
      </w:tr>
      <w:tr w:rsidR="005644C0" w:rsidRPr="00831917" w14:paraId="16E12F48" w14:textId="77777777" w:rsidTr="00C16A8A">
        <w:tc>
          <w:tcPr>
            <w:tcW w:w="3292" w:type="dxa"/>
          </w:tcPr>
          <w:p w14:paraId="2936FFA9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&lt; 10 ml/perc/1,73 m</w:t>
            </w:r>
            <w:r w:rsidRPr="00831917">
              <w:rPr>
                <w:szCs w:val="22"/>
                <w:vertAlign w:val="superscript"/>
              </w:rPr>
              <w:t>2</w:t>
            </w:r>
          </w:p>
        </w:tc>
        <w:tc>
          <w:tcPr>
            <w:tcW w:w="1232" w:type="dxa"/>
          </w:tcPr>
          <w:p w14:paraId="3DFAC9DD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16,8</w:t>
            </w:r>
          </w:p>
        </w:tc>
        <w:tc>
          <w:tcPr>
            <w:tcW w:w="4548" w:type="dxa"/>
          </w:tcPr>
          <w:p w14:paraId="591F0A76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Standard egyéni adag, 48 óránként adva</w:t>
            </w:r>
          </w:p>
        </w:tc>
      </w:tr>
      <w:tr w:rsidR="005644C0" w:rsidRPr="00831917" w14:paraId="23CA50FA" w14:textId="77777777" w:rsidTr="00C16A8A">
        <w:tc>
          <w:tcPr>
            <w:tcW w:w="3292" w:type="dxa"/>
          </w:tcPr>
          <w:p w14:paraId="57DF8B89" w14:textId="77777777" w:rsidR="005644C0" w:rsidRPr="00831917" w:rsidRDefault="00F6671E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Hemodialízis alatt</w:t>
            </w:r>
          </w:p>
        </w:tc>
        <w:tc>
          <w:tcPr>
            <w:tcW w:w="1232" w:type="dxa"/>
          </w:tcPr>
          <w:p w14:paraId="35F8F152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2</w:t>
            </w:r>
            <w:r w:rsidRPr="00831917">
              <w:rPr>
                <w:szCs w:val="22"/>
              </w:rPr>
              <w:noBreakHyphen/>
              <w:t>4</w:t>
            </w:r>
          </w:p>
        </w:tc>
        <w:tc>
          <w:tcPr>
            <w:tcW w:w="4548" w:type="dxa"/>
          </w:tcPr>
          <w:p w14:paraId="2A4E9581" w14:textId="77777777" w:rsidR="005644C0" w:rsidRPr="00831917" w:rsidRDefault="005644C0" w:rsidP="00831917">
            <w:pPr>
              <w:keepNext/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Egy</w:t>
            </w:r>
            <w:r w:rsidR="00831917">
              <w:rPr>
                <w:szCs w:val="22"/>
              </w:rPr>
              <w:t xml:space="preserve"> </w:t>
            </w:r>
            <w:r w:rsidR="003238E3" w:rsidRPr="009855BA">
              <w:rPr>
                <w:szCs w:val="22"/>
              </w:rPr>
              <w:t>egyszeri</w:t>
            </w:r>
            <w:r w:rsidR="00066BC0" w:rsidRPr="009855BA">
              <w:rPr>
                <w:szCs w:val="22"/>
              </w:rPr>
              <w:t xml:space="preserve"> kiegészítő</w:t>
            </w:r>
            <w:r w:rsidRPr="00831917">
              <w:rPr>
                <w:szCs w:val="22"/>
              </w:rPr>
              <w:t xml:space="preserve"> standard egyéni adagot kell adni minden dialízis kezelés végén</w:t>
            </w:r>
          </w:p>
        </w:tc>
      </w:tr>
    </w:tbl>
    <w:p w14:paraId="23915BDE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A7E0D59" w14:textId="77777777" w:rsidR="005644C0" w:rsidRPr="00831917" w:rsidRDefault="005644C0" w:rsidP="00831917">
      <w:pPr>
        <w:keepNext/>
        <w:spacing w:line="240" w:lineRule="auto"/>
        <w:rPr>
          <w:i/>
          <w:szCs w:val="22"/>
        </w:rPr>
      </w:pPr>
      <w:r w:rsidRPr="00831917">
        <w:rPr>
          <w:i/>
          <w:szCs w:val="22"/>
        </w:rPr>
        <w:t>Májkárosodás</w:t>
      </w:r>
    </w:p>
    <w:p w14:paraId="70D2BD8F" w14:textId="6574C24C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szCs w:val="22"/>
        </w:rPr>
        <w:t>Májkárosod</w:t>
      </w:r>
      <w:r w:rsidR="00884CFF">
        <w:rPr>
          <w:szCs w:val="22"/>
        </w:rPr>
        <w:t>ásban szenvedő</w:t>
      </w:r>
      <w:r w:rsidRPr="00831917">
        <w:rPr>
          <w:szCs w:val="22"/>
        </w:rPr>
        <w:t xml:space="preserve"> betegek kezeléséről nem állnak rendelkezésre adatok. </w:t>
      </w:r>
      <w:r w:rsidRPr="00831917">
        <w:rPr>
          <w:noProof/>
          <w:szCs w:val="22"/>
        </w:rPr>
        <w:t>Mivel a cefuroxim elsősorban a vesén keresztül ürül, nem várható, hogy a kóros májműködés befolyást gyakorolna a cefuroxim farmakokinetikájára.</w:t>
      </w:r>
    </w:p>
    <w:p w14:paraId="5FBF19EC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 </w:t>
      </w:r>
    </w:p>
    <w:p w14:paraId="4152600E" w14:textId="77777777" w:rsidR="005644C0" w:rsidRPr="002A00EC" w:rsidRDefault="005644C0" w:rsidP="00831917">
      <w:pPr>
        <w:keepNext/>
        <w:spacing w:line="240" w:lineRule="auto"/>
        <w:rPr>
          <w:szCs w:val="22"/>
          <w:u w:val="single"/>
        </w:rPr>
      </w:pPr>
      <w:r w:rsidRPr="002A00EC">
        <w:rPr>
          <w:szCs w:val="22"/>
          <w:u w:val="single"/>
        </w:rPr>
        <w:t>Az alkalmazás módja</w:t>
      </w:r>
    </w:p>
    <w:p w14:paraId="103BD374" w14:textId="77777777" w:rsidR="005644C0" w:rsidRPr="002A00EC" w:rsidRDefault="005644C0" w:rsidP="00831917">
      <w:pPr>
        <w:keepNext/>
        <w:spacing w:line="240" w:lineRule="auto"/>
        <w:rPr>
          <w:szCs w:val="22"/>
        </w:rPr>
      </w:pPr>
    </w:p>
    <w:p w14:paraId="622BBEDD" w14:textId="23063029" w:rsidR="005644C0" w:rsidRPr="002A00EC" w:rsidRDefault="00D072D0" w:rsidP="00831917">
      <w:pPr>
        <w:keepNext/>
        <w:spacing w:line="240" w:lineRule="auto"/>
        <w:rPr>
          <w:i/>
          <w:szCs w:val="22"/>
        </w:rPr>
      </w:pPr>
      <w:r w:rsidRPr="002A00EC">
        <w:rPr>
          <w:i/>
          <w:szCs w:val="22"/>
        </w:rPr>
        <w:t xml:space="preserve">Zinnat </w:t>
      </w:r>
      <w:r w:rsidR="005644C0" w:rsidRPr="002A00EC">
        <w:rPr>
          <w:i/>
          <w:szCs w:val="22"/>
        </w:rPr>
        <w:t>125 mg, 250 mg, 500 mg filmtabletta</w:t>
      </w:r>
    </w:p>
    <w:p w14:paraId="43460731" w14:textId="21EE1B0A" w:rsidR="005644C0" w:rsidRPr="002A00EC" w:rsidRDefault="005644C0" w:rsidP="00831917">
      <w:pPr>
        <w:keepNext/>
        <w:spacing w:line="240" w:lineRule="auto"/>
        <w:rPr>
          <w:szCs w:val="22"/>
        </w:rPr>
      </w:pPr>
      <w:r w:rsidRPr="002A00EC">
        <w:rPr>
          <w:szCs w:val="22"/>
        </w:rPr>
        <w:t>Per os alkalmazás</w:t>
      </w:r>
      <w:r w:rsidR="00E17292" w:rsidRPr="002A00EC">
        <w:rPr>
          <w:szCs w:val="22"/>
        </w:rPr>
        <w:t>ra</w:t>
      </w:r>
      <w:r w:rsidR="00DC34A3" w:rsidRPr="002A00EC">
        <w:rPr>
          <w:szCs w:val="22"/>
        </w:rPr>
        <w:t>.</w:t>
      </w:r>
    </w:p>
    <w:p w14:paraId="708EB3A5" w14:textId="6F6791C7" w:rsidR="005644C0" w:rsidRPr="002A00EC" w:rsidRDefault="005644C0" w:rsidP="00831917">
      <w:pPr>
        <w:spacing w:line="240" w:lineRule="auto"/>
        <w:rPr>
          <w:szCs w:val="22"/>
        </w:rPr>
      </w:pPr>
      <w:r w:rsidRPr="002A00EC">
        <w:rPr>
          <w:szCs w:val="22"/>
        </w:rPr>
        <w:t>A Zinnat filmtablettát étkezés után kell bevenni az optimális felszívódás biztosítása érdekében.</w:t>
      </w:r>
    </w:p>
    <w:p w14:paraId="2D8EC0C5" w14:textId="77777777" w:rsidR="005644C0" w:rsidRPr="002A00EC" w:rsidRDefault="005644C0" w:rsidP="00831917">
      <w:pPr>
        <w:spacing w:line="240" w:lineRule="auto"/>
        <w:rPr>
          <w:szCs w:val="22"/>
        </w:rPr>
      </w:pPr>
    </w:p>
    <w:p w14:paraId="58861AE9" w14:textId="77777777" w:rsidR="005644C0" w:rsidRPr="002A00EC" w:rsidRDefault="005644C0" w:rsidP="00831917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GB"/>
        </w:rPr>
      </w:pPr>
      <w:r w:rsidRPr="002A00EC">
        <w:rPr>
          <w:rFonts w:eastAsia="Calibri"/>
          <w:szCs w:val="22"/>
          <w:lang w:eastAsia="en-GB"/>
        </w:rPr>
        <w:t xml:space="preserve">A Zinnat filmtablettákat </w:t>
      </w:r>
      <w:r w:rsidR="005244E1" w:rsidRPr="002A00EC">
        <w:rPr>
          <w:rFonts w:eastAsia="Calibri"/>
          <w:szCs w:val="22"/>
          <w:lang w:eastAsia="en-GB"/>
        </w:rPr>
        <w:t xml:space="preserve">nem szabad </w:t>
      </w:r>
      <w:r w:rsidRPr="002A00EC">
        <w:rPr>
          <w:rFonts w:eastAsia="Calibri"/>
          <w:szCs w:val="22"/>
          <w:lang w:eastAsia="en-GB"/>
        </w:rPr>
        <w:t>összezúzni, ezért nem alkalmasak olyan betegek kezelésére, akik nem képesek tablettákat lenyelni. Gyermekeknél a Zinnat belsőleges szuszpenz</w:t>
      </w:r>
      <w:r w:rsidR="00DC34A3" w:rsidRPr="002A00EC">
        <w:rPr>
          <w:rFonts w:eastAsia="Calibri"/>
          <w:szCs w:val="22"/>
          <w:lang w:eastAsia="en-GB"/>
        </w:rPr>
        <w:t>i</w:t>
      </w:r>
      <w:r w:rsidRPr="002A00EC">
        <w:rPr>
          <w:rFonts w:eastAsia="Calibri"/>
          <w:szCs w:val="22"/>
          <w:lang w:eastAsia="en-GB"/>
        </w:rPr>
        <w:t>ót kell alkalmazni.</w:t>
      </w:r>
    </w:p>
    <w:p w14:paraId="2BC33237" w14:textId="77777777" w:rsidR="005644C0" w:rsidRPr="002A00EC" w:rsidRDefault="005644C0" w:rsidP="00831917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GB"/>
        </w:rPr>
      </w:pPr>
    </w:p>
    <w:p w14:paraId="7A6A2C16" w14:textId="3EECC30B" w:rsidR="00632EFA" w:rsidRPr="002A00EC" w:rsidRDefault="00D072D0" w:rsidP="00831917">
      <w:pPr>
        <w:shd w:val="clear" w:color="auto" w:fill="FFFFFF"/>
        <w:spacing w:line="240" w:lineRule="auto"/>
        <w:rPr>
          <w:i/>
          <w:noProof/>
          <w:szCs w:val="22"/>
          <w:shd w:val="clear" w:color="auto" w:fill="C0C0C0"/>
        </w:rPr>
      </w:pPr>
      <w:r w:rsidRPr="002A00EC">
        <w:rPr>
          <w:i/>
          <w:szCs w:val="22"/>
        </w:rPr>
        <w:t xml:space="preserve">Zinnat </w:t>
      </w:r>
      <w:r w:rsidR="005644C0" w:rsidRPr="002A00EC">
        <w:rPr>
          <w:i/>
          <w:szCs w:val="22"/>
        </w:rPr>
        <w:t>125 mg/5 ml granulátum belsőleges szuszpenzióhoz</w:t>
      </w:r>
      <w:r w:rsidR="005644C0" w:rsidRPr="002A00EC">
        <w:rPr>
          <w:i/>
          <w:noProof/>
          <w:szCs w:val="22"/>
          <w:shd w:val="clear" w:color="auto" w:fill="C0C0C0"/>
        </w:rPr>
        <w:t xml:space="preserve"> </w:t>
      </w:r>
    </w:p>
    <w:p w14:paraId="562A4C77" w14:textId="35C7235E" w:rsidR="005644C0" w:rsidRPr="002A00EC" w:rsidRDefault="005644C0" w:rsidP="00831917">
      <w:pPr>
        <w:shd w:val="clear" w:color="auto" w:fill="FFFFFF"/>
        <w:spacing w:line="240" w:lineRule="auto"/>
        <w:rPr>
          <w:szCs w:val="22"/>
        </w:rPr>
      </w:pPr>
      <w:r w:rsidRPr="002A00EC">
        <w:rPr>
          <w:szCs w:val="22"/>
        </w:rPr>
        <w:t>Per os alkalmazás</w:t>
      </w:r>
      <w:r w:rsidR="00E17292" w:rsidRPr="002A00EC">
        <w:rPr>
          <w:szCs w:val="22"/>
        </w:rPr>
        <w:t>ra</w:t>
      </w:r>
      <w:r w:rsidR="00DC34A3" w:rsidRPr="002A00EC">
        <w:rPr>
          <w:szCs w:val="22"/>
        </w:rPr>
        <w:t>.</w:t>
      </w:r>
    </w:p>
    <w:p w14:paraId="2FC45077" w14:textId="4E6F86E5" w:rsidR="005644C0" w:rsidRPr="002A00EC" w:rsidRDefault="005644C0" w:rsidP="00831917">
      <w:pPr>
        <w:shd w:val="clear" w:color="auto" w:fill="FFFFFF"/>
        <w:spacing w:line="240" w:lineRule="auto"/>
        <w:rPr>
          <w:szCs w:val="22"/>
        </w:rPr>
      </w:pPr>
      <w:r w:rsidRPr="002A00EC">
        <w:rPr>
          <w:szCs w:val="22"/>
        </w:rPr>
        <w:t>A cefuroxim-axetil szuszpenziót étkezés</w:t>
      </w:r>
      <w:r w:rsidR="00577B7A" w:rsidRPr="002A00EC">
        <w:rPr>
          <w:szCs w:val="22"/>
        </w:rPr>
        <w:t xml:space="preserve"> közben</w:t>
      </w:r>
      <w:r w:rsidR="00ED4A38" w:rsidRPr="002A00EC">
        <w:rPr>
          <w:szCs w:val="22"/>
        </w:rPr>
        <w:t xml:space="preserve"> </w:t>
      </w:r>
      <w:r w:rsidRPr="002A00EC">
        <w:rPr>
          <w:szCs w:val="22"/>
        </w:rPr>
        <w:t>kell bevenni az optimális felszívódás biztosítása érdekében.</w:t>
      </w:r>
    </w:p>
    <w:p w14:paraId="194FB9E7" w14:textId="77777777" w:rsidR="005644C0" w:rsidRPr="002A00EC" w:rsidRDefault="005644C0" w:rsidP="00831917">
      <w:pPr>
        <w:shd w:val="clear" w:color="auto" w:fill="FFFFFF"/>
        <w:spacing w:line="240" w:lineRule="auto"/>
        <w:rPr>
          <w:szCs w:val="22"/>
        </w:rPr>
      </w:pPr>
    </w:p>
    <w:p w14:paraId="229B9023" w14:textId="3D7E56DF" w:rsidR="005644C0" w:rsidRPr="00831917" w:rsidRDefault="005644C0" w:rsidP="00831917">
      <w:pPr>
        <w:spacing w:line="240" w:lineRule="auto"/>
        <w:rPr>
          <w:szCs w:val="22"/>
        </w:rPr>
      </w:pPr>
      <w:r w:rsidRPr="002A00EC">
        <w:rPr>
          <w:szCs w:val="22"/>
        </w:rPr>
        <w:t xml:space="preserve">A </w:t>
      </w:r>
      <w:r w:rsidR="005244E1" w:rsidRPr="002A00EC">
        <w:rPr>
          <w:szCs w:val="22"/>
        </w:rPr>
        <w:t xml:space="preserve">gyógyszer alkalmazás </w:t>
      </w:r>
      <w:r w:rsidRPr="002A00EC">
        <w:rPr>
          <w:szCs w:val="22"/>
        </w:rPr>
        <w:t>előtti elkészítésé</w:t>
      </w:r>
      <w:r w:rsidR="005244E1" w:rsidRPr="002A00EC">
        <w:rPr>
          <w:szCs w:val="22"/>
        </w:rPr>
        <w:t>re vonatkozó utasításokat</w:t>
      </w:r>
      <w:r w:rsidRPr="002A00EC">
        <w:rPr>
          <w:szCs w:val="22"/>
        </w:rPr>
        <w:t xml:space="preserve"> lásd a 6.6 pontban.</w:t>
      </w:r>
    </w:p>
    <w:p w14:paraId="44F5518D" w14:textId="77777777" w:rsidR="00F6671E" w:rsidRPr="00831917" w:rsidRDefault="00F6671E" w:rsidP="00831917">
      <w:pPr>
        <w:spacing w:line="240" w:lineRule="auto"/>
        <w:rPr>
          <w:szCs w:val="22"/>
        </w:rPr>
      </w:pPr>
    </w:p>
    <w:p w14:paraId="124668F7" w14:textId="77777777" w:rsidR="00F6671E" w:rsidRPr="00831917" w:rsidRDefault="00F6671E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Az adagolástól függően </w:t>
      </w:r>
      <w:r w:rsidR="00D72435" w:rsidRPr="00831917">
        <w:rPr>
          <w:szCs w:val="22"/>
        </w:rPr>
        <w:t>más gyógyszerforma is rendelkez</w:t>
      </w:r>
      <w:r w:rsidR="0047011D" w:rsidRPr="00831917">
        <w:rPr>
          <w:szCs w:val="22"/>
        </w:rPr>
        <w:t>é</w:t>
      </w:r>
      <w:r w:rsidR="00D72435" w:rsidRPr="00831917">
        <w:rPr>
          <w:szCs w:val="22"/>
        </w:rPr>
        <w:t xml:space="preserve">sre áll. </w:t>
      </w:r>
    </w:p>
    <w:p w14:paraId="32357DEF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92D0820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4.3</w:t>
      </w:r>
      <w:r w:rsidRPr="00831917">
        <w:rPr>
          <w:b/>
          <w:szCs w:val="22"/>
        </w:rPr>
        <w:tab/>
        <w:t>Ellenjavallatok</w:t>
      </w:r>
    </w:p>
    <w:p w14:paraId="5F9D8658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3937CC30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 xml:space="preserve">A készítmény </w:t>
      </w:r>
      <w:r w:rsidR="00DC34A3" w:rsidRPr="00831917">
        <w:rPr>
          <w:szCs w:val="22"/>
        </w:rPr>
        <w:t xml:space="preserve">hatóanyagával vagy </w:t>
      </w:r>
      <w:r w:rsidR="00CB3D48" w:rsidRPr="00831917">
        <w:rPr>
          <w:szCs w:val="22"/>
        </w:rPr>
        <w:t xml:space="preserve">a </w:t>
      </w:r>
      <w:r w:rsidRPr="00831917">
        <w:rPr>
          <w:szCs w:val="22"/>
        </w:rPr>
        <w:t xml:space="preserve">6.1 pontban felsorolt </w:t>
      </w:r>
      <w:r w:rsidR="00DC34A3" w:rsidRPr="00831917">
        <w:rPr>
          <w:szCs w:val="22"/>
        </w:rPr>
        <w:t xml:space="preserve">bármely </w:t>
      </w:r>
      <w:r w:rsidRPr="00831917">
        <w:rPr>
          <w:szCs w:val="22"/>
        </w:rPr>
        <w:t>segédanyagával szembeni túlérzékenység.</w:t>
      </w:r>
    </w:p>
    <w:p w14:paraId="2CA12EB2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E8933A9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A cefalosporin antibiotikumokkal szembeni ismert túlérzékenység.</w:t>
      </w:r>
    </w:p>
    <w:p w14:paraId="308FC1CC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60A7C10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Súlyos túlérzékenység (pl. anafilaxiás reakció) a kórtörténetben bármely típusú béta-laktám antibakteriális hatóanyaggal (penicillinekkel, monobaktámokkal és karbapenemekkel) szemben.</w:t>
      </w:r>
    </w:p>
    <w:p w14:paraId="2B463A32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0335579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4.4</w:t>
      </w:r>
      <w:r w:rsidRPr="00831917">
        <w:rPr>
          <w:b/>
          <w:szCs w:val="22"/>
        </w:rPr>
        <w:tab/>
        <w:t>Különleges figyelmeztetések és az alkalmazással kapcsolatos óvintézkedések</w:t>
      </w:r>
    </w:p>
    <w:p w14:paraId="0C62DD79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</w:p>
    <w:p w14:paraId="47D72E9E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Túlérzékenységi reakciók</w:t>
      </w:r>
    </w:p>
    <w:p w14:paraId="25243E10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keresztérzékenység kockázata miatt különös óvatosság szükséges azoknál a betegeknél, akik penicillinekkel vagy egyéb béta</w:t>
      </w:r>
      <w:r w:rsidRPr="00831917">
        <w:rPr>
          <w:noProof/>
          <w:szCs w:val="22"/>
        </w:rPr>
        <w:noBreakHyphen/>
        <w:t>laktám antibiotikumokkal szemben allergiás reakciót tapasztaltak.</w:t>
      </w:r>
    </w:p>
    <w:p w14:paraId="7490749B" w14:textId="67CF7B00" w:rsidR="00BB6F1C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Mint minden béta-laktám antibakteriális hatóanyag esetében, súlyos és esetenként halálos kimenetelű túlérzékenységi reakciókat</w:t>
      </w:r>
      <w:r w:rsidR="005244E1" w:rsidRPr="00831917">
        <w:rPr>
          <w:noProof/>
          <w:szCs w:val="22"/>
        </w:rPr>
        <w:t xml:space="preserve"> jelentettek</w:t>
      </w:r>
      <w:r w:rsidRPr="00831917">
        <w:rPr>
          <w:noProof/>
          <w:szCs w:val="22"/>
        </w:rPr>
        <w:t xml:space="preserve">. </w:t>
      </w:r>
      <w:r w:rsidR="00BB6F1C">
        <w:rPr>
          <w:noProof/>
          <w:szCs w:val="22"/>
        </w:rPr>
        <w:t>Olyan túlérzékenységi reakciókat is jelentettek, amelyek Kounis-szindrómába (akut allergiás coronaria arteriospasmus, ami akár myocardialis infarctust is ok</w:t>
      </w:r>
      <w:r w:rsidR="004113CD">
        <w:rPr>
          <w:noProof/>
          <w:szCs w:val="22"/>
        </w:rPr>
        <w:t>o</w:t>
      </w:r>
      <w:r w:rsidR="00BB6F1C">
        <w:rPr>
          <w:noProof/>
          <w:szCs w:val="22"/>
        </w:rPr>
        <w:t>zhat, lásd 4.8 pont) progrediáltak.</w:t>
      </w:r>
    </w:p>
    <w:p w14:paraId="7A6DBD68" w14:textId="42C40213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lastRenderedPageBreak/>
        <w:t>Súlyos túlérzékenységi reakciók esetén a cefuroxim-kezelést azonnal abba kell hagyni</w:t>
      </w:r>
      <w:r w:rsidR="00DC34A3" w:rsidRPr="00831917">
        <w:rPr>
          <w:noProof/>
          <w:szCs w:val="22"/>
        </w:rPr>
        <w:t>,</w:t>
      </w:r>
      <w:r w:rsidRPr="00831917">
        <w:rPr>
          <w:noProof/>
          <w:szCs w:val="22"/>
        </w:rPr>
        <w:t xml:space="preserve"> és megfelelő sürgősségi intézkedéseket kell kezdeményezni.</w:t>
      </w:r>
    </w:p>
    <w:p w14:paraId="5F083790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59488805" w14:textId="30EBC382" w:rsidR="005644C0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kezelés megkezdése előtt meg kell ismerni, hogy a beteg kórtörténetében szerepelnek-e cefuroximra, egyéb cefalosporinra vagy bármely más típusú béta-laktám hatóanyag</w:t>
      </w:r>
      <w:r w:rsidR="0050658C">
        <w:rPr>
          <w:noProof/>
          <w:szCs w:val="22"/>
        </w:rPr>
        <w:t xml:space="preserve"> által kiváltott</w:t>
      </w:r>
      <w:r w:rsidRPr="00831917">
        <w:rPr>
          <w:noProof/>
          <w:szCs w:val="22"/>
        </w:rPr>
        <w:t xml:space="preserve"> túlérzékenységi reakciók. Óvatosság szükséges, ha a cefuroximot olyan betegnél alkalmazzák, akinek a kórtörténetében nem súlyos</w:t>
      </w:r>
      <w:r w:rsidR="0050658C">
        <w:rPr>
          <w:noProof/>
          <w:szCs w:val="22"/>
        </w:rPr>
        <w:t xml:space="preserve"> mértékű</w:t>
      </w:r>
      <w:r w:rsidRPr="00831917">
        <w:rPr>
          <w:noProof/>
          <w:szCs w:val="22"/>
        </w:rPr>
        <w:t xml:space="preserve"> túlérzékenység fordult elő egyéb béta-laktám hatóanyagokra.</w:t>
      </w:r>
    </w:p>
    <w:p w14:paraId="5FB82EE9" w14:textId="5E86ABC6" w:rsidR="009A6659" w:rsidRDefault="009A6659" w:rsidP="00831917">
      <w:pPr>
        <w:spacing w:line="240" w:lineRule="auto"/>
        <w:rPr>
          <w:noProof/>
          <w:szCs w:val="22"/>
        </w:rPr>
      </w:pPr>
    </w:p>
    <w:p w14:paraId="6F78B4E0" w14:textId="585FF697" w:rsidR="009A6659" w:rsidRDefault="009A6659" w:rsidP="00831917">
      <w:pPr>
        <w:spacing w:line="240" w:lineRule="auto"/>
        <w:rPr>
          <w:bCs/>
          <w:szCs w:val="22"/>
          <w:u w:val="single"/>
        </w:rPr>
      </w:pPr>
      <w:r w:rsidRPr="00697381">
        <w:rPr>
          <w:bCs/>
          <w:szCs w:val="22"/>
          <w:u w:val="single"/>
        </w:rPr>
        <w:t>Bőrt érintő</w:t>
      </w:r>
      <w:r>
        <w:rPr>
          <w:bCs/>
          <w:szCs w:val="22"/>
          <w:u w:val="single"/>
        </w:rPr>
        <w:t>, súlyos mellékhatások (severe cutaneous adverse reaction, SCAR)</w:t>
      </w:r>
    </w:p>
    <w:p w14:paraId="3F18727D" w14:textId="77777777" w:rsidR="009A6659" w:rsidRPr="00697381" w:rsidRDefault="009A6659" w:rsidP="009A6659">
      <w:pPr>
        <w:suppressAutoHyphens w:val="0"/>
        <w:autoSpaceDE w:val="0"/>
        <w:autoSpaceDN w:val="0"/>
        <w:adjustRightInd w:val="0"/>
        <w:spacing w:line="240" w:lineRule="auto"/>
        <w:rPr>
          <w:noProof/>
          <w:szCs w:val="22"/>
        </w:rPr>
      </w:pPr>
      <w:r w:rsidRPr="00697381">
        <w:rPr>
          <w:noProof/>
          <w:szCs w:val="22"/>
        </w:rPr>
        <w:t xml:space="preserve">Bőrt érintő, súlyos mellékhatásokat, köztük Stevens–Johnson-szindrómát (SJS), toxicus epidermalis necrolysist (TEN) és eosinophiliával és szisztémás tünetekkel járó gyógyszerreakciót (DRESS) jelentettek cefuroxim-kezeléssel összefüggésben, amelyek életveszélyesek vagy halálos kimenetelűek is lehetnek (lásd 4.8 pont). </w:t>
      </w:r>
    </w:p>
    <w:p w14:paraId="7483D3AC" w14:textId="4381E099" w:rsidR="009A6659" w:rsidRPr="00697381" w:rsidRDefault="009A6659" w:rsidP="009A6659">
      <w:pPr>
        <w:spacing w:line="240" w:lineRule="auto"/>
        <w:rPr>
          <w:noProof/>
          <w:szCs w:val="22"/>
        </w:rPr>
      </w:pPr>
      <w:r w:rsidRPr="00697381">
        <w:rPr>
          <w:noProof/>
          <w:szCs w:val="22"/>
        </w:rPr>
        <w:t>A gyógyszer rendelésekor a betegeket tájékoztatni kell a bőrreakciók jeleiről és tüneteiről, és szoros monitorozásuk szükséges a bőrreakciók kialakulása tekintetében. Amennyiben ilyen reakciók kialakulására utaló jelek és tünetek lépnek fel, a cefuroxim-kezelést azonnal le kell állítani, és mérlegelni kell másik terápiás lehetőség alkalmazását. Ha a betegnél a cefuroxim alkalmazásakor súlyos reakció, például SJS, TEN vagy DRESS jelentkezik, akkor ez a beteg soha többé nem kezelhető cefurox</w:t>
      </w:r>
      <w:r>
        <w:rPr>
          <w:noProof/>
          <w:szCs w:val="22"/>
        </w:rPr>
        <w:t>immal.</w:t>
      </w:r>
    </w:p>
    <w:p w14:paraId="3361835D" w14:textId="77777777" w:rsidR="009A6659" w:rsidRPr="00697381" w:rsidRDefault="009A6659" w:rsidP="00831917">
      <w:pPr>
        <w:spacing w:line="240" w:lineRule="auto"/>
        <w:rPr>
          <w:noProof/>
          <w:szCs w:val="22"/>
        </w:rPr>
      </w:pPr>
    </w:p>
    <w:p w14:paraId="15BC5273" w14:textId="6393F63B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Jarisc</w:t>
      </w:r>
      <w:r w:rsidR="00974295">
        <w:rPr>
          <w:noProof/>
          <w:szCs w:val="22"/>
          <w:u w:val="single"/>
        </w:rPr>
        <w:t>h–H</w:t>
      </w:r>
      <w:r w:rsidRPr="00831917">
        <w:rPr>
          <w:noProof/>
          <w:szCs w:val="22"/>
          <w:u w:val="single"/>
        </w:rPr>
        <w:t>erxheimer</w:t>
      </w:r>
      <w:r w:rsidR="00195D54">
        <w:rPr>
          <w:noProof/>
          <w:szCs w:val="22"/>
          <w:u w:val="single"/>
        </w:rPr>
        <w:t>-</w:t>
      </w:r>
      <w:r w:rsidRPr="00831917">
        <w:rPr>
          <w:noProof/>
          <w:szCs w:val="22"/>
          <w:u w:val="single"/>
        </w:rPr>
        <w:t>reakció</w:t>
      </w:r>
    </w:p>
    <w:p w14:paraId="74B3D4E6" w14:textId="4B4ECE2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Jarisc</w:t>
      </w:r>
      <w:r w:rsidR="00974295">
        <w:rPr>
          <w:noProof/>
          <w:szCs w:val="22"/>
        </w:rPr>
        <w:t>h–H</w:t>
      </w:r>
      <w:r w:rsidRPr="00831917">
        <w:rPr>
          <w:noProof/>
          <w:szCs w:val="22"/>
        </w:rPr>
        <w:t>erxheimer</w:t>
      </w:r>
      <w:r w:rsidR="00195D54">
        <w:rPr>
          <w:noProof/>
          <w:szCs w:val="22"/>
        </w:rPr>
        <w:t>-</w:t>
      </w:r>
      <w:r w:rsidRPr="00831917">
        <w:rPr>
          <w:noProof/>
          <w:szCs w:val="22"/>
        </w:rPr>
        <w:t>reakciót észleltek Lyme</w:t>
      </w:r>
      <w:r w:rsidRPr="00831917">
        <w:rPr>
          <w:noProof/>
          <w:szCs w:val="22"/>
        </w:rPr>
        <w:noBreakHyphen/>
        <w:t>kór cefuroxim</w:t>
      </w:r>
      <w:r w:rsidRPr="00831917">
        <w:rPr>
          <w:noProof/>
          <w:szCs w:val="22"/>
        </w:rPr>
        <w:noBreakHyphen/>
        <w:t>axetillel történt kezelés</w:t>
      </w:r>
      <w:r w:rsidR="0050658C">
        <w:rPr>
          <w:noProof/>
          <w:szCs w:val="22"/>
        </w:rPr>
        <w:t>t</w:t>
      </w:r>
      <w:r w:rsidRPr="00831917">
        <w:rPr>
          <w:noProof/>
          <w:szCs w:val="22"/>
        </w:rPr>
        <w:t xml:space="preserve"> </w:t>
      </w:r>
      <w:r w:rsidR="0050658C">
        <w:rPr>
          <w:noProof/>
          <w:szCs w:val="22"/>
        </w:rPr>
        <w:t>követően</w:t>
      </w:r>
      <w:r w:rsidRPr="00831917">
        <w:rPr>
          <w:noProof/>
          <w:szCs w:val="22"/>
        </w:rPr>
        <w:t>. Ez közvetlenül a cefuroxim</w:t>
      </w:r>
      <w:r w:rsidRPr="00831917">
        <w:rPr>
          <w:noProof/>
          <w:szCs w:val="22"/>
        </w:rPr>
        <w:noBreakHyphen/>
        <w:t xml:space="preserve">axetilnek a </w:t>
      </w:r>
      <w:r w:rsidR="0045543F">
        <w:rPr>
          <w:noProof/>
          <w:szCs w:val="22"/>
        </w:rPr>
        <w:t xml:space="preserve">Lyme-kórt okozó </w:t>
      </w:r>
      <w:r w:rsidRPr="00831917">
        <w:rPr>
          <w:noProof/>
          <w:szCs w:val="22"/>
        </w:rPr>
        <w:t>baktérium (</w:t>
      </w:r>
      <w:r w:rsidRPr="00831917">
        <w:rPr>
          <w:i/>
          <w:noProof/>
          <w:szCs w:val="22"/>
        </w:rPr>
        <w:t>Borrelia burgdorferi</w:t>
      </w:r>
      <w:r w:rsidRPr="00831917">
        <w:rPr>
          <w:noProof/>
          <w:szCs w:val="22"/>
        </w:rPr>
        <w:t xml:space="preserve"> spirochaeta) elleni baktericid aktivitásából ered. A betegeket meg kell nyugtatni, hogy ez a Lyme</w:t>
      </w:r>
      <w:r w:rsidRPr="00831917">
        <w:rPr>
          <w:noProof/>
          <w:szCs w:val="22"/>
        </w:rPr>
        <w:noBreakHyphen/>
        <w:t>kór antibiotikumos kezelésének gyakori és rendszerint önmagától rendeződő következménye (lásd 4.8 pont).</w:t>
      </w:r>
    </w:p>
    <w:p w14:paraId="31FB7491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16B39FA4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Cefuroximra nem érzékeny mikroorganizmusok elszaporodása</w:t>
      </w:r>
    </w:p>
    <w:p w14:paraId="04001C91" w14:textId="29478144" w:rsidR="005644C0" w:rsidRPr="00831917" w:rsidRDefault="005644C0" w:rsidP="00CF6B6C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Más antibiotikumhoz hasonlóan, a cefuroxim</w:t>
      </w:r>
      <w:r w:rsidRPr="00831917">
        <w:rPr>
          <w:noProof/>
          <w:szCs w:val="22"/>
        </w:rPr>
        <w:noBreakHyphen/>
        <w:t>axetil alkalmazása a Candida</w:t>
      </w:r>
      <w:r w:rsidRPr="00831917">
        <w:rPr>
          <w:i/>
          <w:noProof/>
          <w:szCs w:val="22"/>
        </w:rPr>
        <w:t xml:space="preserve"> </w:t>
      </w:r>
      <w:r w:rsidRPr="00831917">
        <w:rPr>
          <w:noProof/>
          <w:szCs w:val="22"/>
        </w:rPr>
        <w:t xml:space="preserve">elszaporodását okozhatja. A tartós használat az egyéb nem érzékeny mikroorganizmusok (pl. az </w:t>
      </w:r>
      <w:r w:rsidR="005244E1" w:rsidRPr="00831917">
        <w:rPr>
          <w:noProof/>
          <w:szCs w:val="22"/>
        </w:rPr>
        <w:t>E</w:t>
      </w:r>
      <w:r w:rsidRPr="00831917">
        <w:rPr>
          <w:noProof/>
          <w:szCs w:val="22"/>
        </w:rPr>
        <w:t xml:space="preserve">nterococcusok és a </w:t>
      </w:r>
      <w:r w:rsidRPr="00831917">
        <w:rPr>
          <w:i/>
          <w:noProof/>
          <w:szCs w:val="22"/>
        </w:rPr>
        <w:t>Clostridi</w:t>
      </w:r>
      <w:r w:rsidR="005B2973">
        <w:rPr>
          <w:i/>
          <w:noProof/>
          <w:szCs w:val="22"/>
        </w:rPr>
        <w:t>oides</w:t>
      </w:r>
      <w:r w:rsidRPr="00831917">
        <w:rPr>
          <w:i/>
          <w:noProof/>
          <w:szCs w:val="22"/>
        </w:rPr>
        <w:t xml:space="preserve"> difficile</w:t>
      </w:r>
      <w:r w:rsidRPr="00831917">
        <w:rPr>
          <w:noProof/>
          <w:szCs w:val="22"/>
        </w:rPr>
        <w:t>) elszaporodásához is vezethet, ami a kezelés megszakítását igényelheti (lásd 4.8 pont).</w:t>
      </w:r>
    </w:p>
    <w:p w14:paraId="13548CD1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2DAAF2DC" w14:textId="3736D20A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Antibakteriális szerek alkalmazásával összefüggő colitis pseudomembranosát</w:t>
      </w:r>
      <w:r w:rsidRPr="00831917" w:rsidDel="0092324B">
        <w:rPr>
          <w:noProof/>
          <w:szCs w:val="22"/>
        </w:rPr>
        <w:t xml:space="preserve"> </w:t>
      </w:r>
      <w:r w:rsidRPr="00831917">
        <w:rPr>
          <w:noProof/>
          <w:szCs w:val="22"/>
        </w:rPr>
        <w:t>csaknem az összes antibakteriális gyógyszerrel, köztük a cefuroximmal kapcsolatban is jelentettek, amelynek súlyossága az enyhétől az életveszélyesig terjedhet. Ezt a diagnózist figyelembe kell venni a cefuroxim alkalmazása során vagy közvetlenül azután kialakult hasmenés esetén (lásd 4.8 pont). Mérlegelni kell a cefuroxim</w:t>
      </w:r>
      <w:r w:rsidRPr="00831917">
        <w:rPr>
          <w:noProof/>
          <w:szCs w:val="22"/>
        </w:rPr>
        <w:noBreakHyphen/>
        <w:t xml:space="preserve">kezelés abbahagyását és a </w:t>
      </w:r>
      <w:r w:rsidRPr="00831917">
        <w:rPr>
          <w:i/>
          <w:noProof/>
          <w:szCs w:val="22"/>
        </w:rPr>
        <w:t>Clostridi</w:t>
      </w:r>
      <w:r w:rsidR="00884CFF">
        <w:rPr>
          <w:i/>
          <w:noProof/>
          <w:szCs w:val="22"/>
        </w:rPr>
        <w:t>oid</w:t>
      </w:r>
      <w:r w:rsidR="005B2973">
        <w:rPr>
          <w:i/>
          <w:noProof/>
          <w:szCs w:val="22"/>
        </w:rPr>
        <w:t>es</w:t>
      </w:r>
      <w:r w:rsidRPr="00831917">
        <w:rPr>
          <w:i/>
          <w:noProof/>
          <w:szCs w:val="22"/>
        </w:rPr>
        <w:t xml:space="preserve"> difficile</w:t>
      </w:r>
      <w:r w:rsidRPr="00831917">
        <w:rPr>
          <w:noProof/>
          <w:szCs w:val="22"/>
        </w:rPr>
        <w:t xml:space="preserve"> elleni specifikus kezelés alkalmazását. </w:t>
      </w:r>
      <w:r w:rsidRPr="00831917">
        <w:rPr>
          <w:szCs w:val="22"/>
        </w:rPr>
        <w:t>A perisztaltikát gátló gyógyszereket nem szabad alkalmazni (lásd 4.8 pont)</w:t>
      </w:r>
      <w:r w:rsidRPr="00831917">
        <w:rPr>
          <w:noProof/>
          <w:szCs w:val="22"/>
        </w:rPr>
        <w:t>.</w:t>
      </w:r>
    </w:p>
    <w:p w14:paraId="1233BFF6" w14:textId="77777777" w:rsidR="005644C0" w:rsidRPr="00831917" w:rsidRDefault="005644C0" w:rsidP="00ED3D42">
      <w:pPr>
        <w:spacing w:line="240" w:lineRule="auto"/>
        <w:rPr>
          <w:noProof/>
          <w:szCs w:val="22"/>
        </w:rPr>
      </w:pPr>
    </w:p>
    <w:p w14:paraId="6657F244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Interferencia diagnosztikai vizsgálatokkal</w:t>
      </w:r>
    </w:p>
    <w:p w14:paraId="56F619DB" w14:textId="1FF7058A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 xml:space="preserve">A cefuroxim alkalmazásával kapcsolatban kialakuló pozitív Coombs teszt megzavarhatja a </w:t>
      </w:r>
      <w:r w:rsidR="00DC1785">
        <w:rPr>
          <w:noProof/>
          <w:szCs w:val="22"/>
        </w:rPr>
        <w:t xml:space="preserve">vér kompatibilitási vizsgálat </w:t>
      </w:r>
      <w:r w:rsidRPr="00DC1785">
        <w:rPr>
          <w:noProof/>
          <w:szCs w:val="22"/>
        </w:rPr>
        <w:t>eredményét</w:t>
      </w:r>
      <w:r w:rsidRPr="00831917">
        <w:rPr>
          <w:noProof/>
          <w:szCs w:val="22"/>
        </w:rPr>
        <w:t xml:space="preserve"> (lásd 4.8 pont).</w:t>
      </w:r>
    </w:p>
    <w:p w14:paraId="3A4AC9C4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622B2A8F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Mivel álnegatív reakció fordulhat elő a ferricianid tesztnél, ajánlott, hogy vagy glükóz</w:t>
      </w:r>
      <w:r w:rsidRPr="00831917">
        <w:rPr>
          <w:noProof/>
          <w:szCs w:val="22"/>
        </w:rPr>
        <w:noBreakHyphen/>
        <w:t>oxidáz vagy hexokináz módszer kerüljön alkalmazásra a vér/plazma glükózszint meghatározására cefuroxim</w:t>
      </w:r>
      <w:r w:rsidRPr="00831917">
        <w:rPr>
          <w:noProof/>
          <w:szCs w:val="22"/>
        </w:rPr>
        <w:noBreakHyphen/>
        <w:t>axetil</w:t>
      </w:r>
      <w:r w:rsidR="005244E1" w:rsidRPr="00831917">
        <w:rPr>
          <w:noProof/>
          <w:szCs w:val="22"/>
        </w:rPr>
        <w:t>lel</w:t>
      </w:r>
      <w:r w:rsidRPr="00831917">
        <w:rPr>
          <w:noProof/>
          <w:szCs w:val="22"/>
        </w:rPr>
        <w:t xml:space="preserve"> </w:t>
      </w:r>
      <w:r w:rsidR="005244E1" w:rsidRPr="00831917">
        <w:rPr>
          <w:noProof/>
          <w:szCs w:val="22"/>
        </w:rPr>
        <w:t>kezelt</w:t>
      </w:r>
      <w:r w:rsidRPr="00831917">
        <w:rPr>
          <w:noProof/>
          <w:szCs w:val="22"/>
        </w:rPr>
        <w:t xml:space="preserve"> betegek esetében.</w:t>
      </w:r>
    </w:p>
    <w:p w14:paraId="2D0C9F4B" w14:textId="77777777" w:rsidR="005644C0" w:rsidRPr="00831917" w:rsidRDefault="005644C0" w:rsidP="00831917">
      <w:pPr>
        <w:spacing w:line="240" w:lineRule="auto"/>
        <w:rPr>
          <w:noProof/>
          <w:szCs w:val="22"/>
          <w:u w:val="single"/>
        </w:rPr>
      </w:pPr>
    </w:p>
    <w:p w14:paraId="5847D6F0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lastRenderedPageBreak/>
        <w:t>Fontos információk a segédanyagokkal kapcsolatban</w:t>
      </w:r>
    </w:p>
    <w:p w14:paraId="570D9518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3F1DA6BD" w14:textId="45907991" w:rsidR="005644C0" w:rsidRPr="005105D4" w:rsidRDefault="00B45177" w:rsidP="00831917">
      <w:pPr>
        <w:keepNext/>
        <w:spacing w:line="240" w:lineRule="auto"/>
        <w:rPr>
          <w:i/>
          <w:noProof/>
          <w:szCs w:val="22"/>
        </w:rPr>
      </w:pPr>
      <w:r w:rsidRPr="002A00EC">
        <w:rPr>
          <w:i/>
          <w:noProof/>
          <w:szCs w:val="22"/>
        </w:rPr>
        <w:t xml:space="preserve">Zinnat </w:t>
      </w:r>
      <w:r w:rsidR="005644C0" w:rsidRPr="00263FA6">
        <w:rPr>
          <w:i/>
          <w:noProof/>
          <w:szCs w:val="22"/>
        </w:rPr>
        <w:t>125 mg filmtablett</w:t>
      </w:r>
      <w:r w:rsidR="00E95B7F">
        <w:rPr>
          <w:i/>
          <w:noProof/>
          <w:szCs w:val="22"/>
        </w:rPr>
        <w:t>a</w:t>
      </w:r>
    </w:p>
    <w:p w14:paraId="6B1261BF" w14:textId="296367FF" w:rsidR="00E95B7F" w:rsidRDefault="00FA6383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>Ez a gyógyszer 0,00152 mg nátrium-benzoátot tartalmaz 125 mg</w:t>
      </w:r>
      <w:r w:rsidR="0050658C">
        <w:rPr>
          <w:noProof/>
          <w:szCs w:val="22"/>
        </w:rPr>
        <w:noBreakHyphen/>
        <w:t>os tablettánkén</w:t>
      </w:r>
      <w:r w:rsidR="00DC1785">
        <w:rPr>
          <w:noProof/>
          <w:szCs w:val="22"/>
        </w:rPr>
        <w:t>t</w:t>
      </w:r>
      <w:r>
        <w:rPr>
          <w:noProof/>
          <w:szCs w:val="22"/>
        </w:rPr>
        <w:t>.</w:t>
      </w:r>
    </w:p>
    <w:p w14:paraId="6813D07D" w14:textId="77777777" w:rsidR="00E95B7F" w:rsidRDefault="00E95B7F" w:rsidP="00831917">
      <w:pPr>
        <w:keepNext/>
        <w:spacing w:line="240" w:lineRule="auto"/>
        <w:rPr>
          <w:noProof/>
          <w:szCs w:val="22"/>
        </w:rPr>
      </w:pPr>
    </w:p>
    <w:p w14:paraId="433107E4" w14:textId="4779DEAA" w:rsidR="00815AA9" w:rsidRDefault="00E95B7F" w:rsidP="00831917">
      <w:pPr>
        <w:keepNext/>
        <w:spacing w:line="240" w:lineRule="auto"/>
        <w:rPr>
          <w:noProof/>
          <w:szCs w:val="22"/>
        </w:rPr>
      </w:pPr>
      <w:r>
        <w:rPr>
          <w:i/>
          <w:noProof/>
          <w:szCs w:val="22"/>
        </w:rPr>
        <w:t xml:space="preserve">Zinnat </w:t>
      </w:r>
      <w:r w:rsidRPr="00263FA6">
        <w:rPr>
          <w:i/>
          <w:noProof/>
          <w:szCs w:val="22"/>
        </w:rPr>
        <w:t>250 mg</w:t>
      </w:r>
      <w:r>
        <w:rPr>
          <w:i/>
          <w:noProof/>
          <w:szCs w:val="22"/>
        </w:rPr>
        <w:t xml:space="preserve"> filmtabletta</w:t>
      </w:r>
    </w:p>
    <w:p w14:paraId="1050F104" w14:textId="629C4843" w:rsidR="00FA6383" w:rsidRDefault="00FA6383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>Ez a gyógyszer 0,00203 mg nátrium benzoátot tartalmaz 250 mg</w:t>
      </w:r>
      <w:r w:rsidR="0050658C">
        <w:rPr>
          <w:noProof/>
          <w:szCs w:val="22"/>
        </w:rPr>
        <w:noBreakHyphen/>
        <w:t xml:space="preserve">os </w:t>
      </w:r>
      <w:r>
        <w:rPr>
          <w:noProof/>
          <w:szCs w:val="22"/>
        </w:rPr>
        <w:t>tablettá</w:t>
      </w:r>
      <w:r w:rsidR="0050658C">
        <w:rPr>
          <w:noProof/>
          <w:szCs w:val="22"/>
        </w:rPr>
        <w:t>nként</w:t>
      </w:r>
      <w:r>
        <w:rPr>
          <w:noProof/>
          <w:szCs w:val="22"/>
        </w:rPr>
        <w:t>.</w:t>
      </w:r>
    </w:p>
    <w:p w14:paraId="49EB846A" w14:textId="55BEEF27" w:rsidR="00E95B7F" w:rsidRDefault="00E95B7F" w:rsidP="00831917">
      <w:pPr>
        <w:keepNext/>
        <w:spacing w:line="240" w:lineRule="auto"/>
        <w:rPr>
          <w:noProof/>
          <w:szCs w:val="22"/>
        </w:rPr>
      </w:pPr>
    </w:p>
    <w:p w14:paraId="18E980F7" w14:textId="467AD838" w:rsidR="00E95B7F" w:rsidRDefault="00E95B7F" w:rsidP="00831917">
      <w:pPr>
        <w:keepNext/>
        <w:spacing w:line="240" w:lineRule="auto"/>
        <w:rPr>
          <w:noProof/>
          <w:szCs w:val="22"/>
        </w:rPr>
      </w:pPr>
      <w:r>
        <w:rPr>
          <w:i/>
          <w:noProof/>
          <w:szCs w:val="22"/>
        </w:rPr>
        <w:t xml:space="preserve">Zinnat </w:t>
      </w:r>
      <w:r w:rsidRPr="00263FA6">
        <w:rPr>
          <w:i/>
          <w:noProof/>
          <w:szCs w:val="22"/>
        </w:rPr>
        <w:t>500 mg filmtablett</w:t>
      </w:r>
      <w:r>
        <w:rPr>
          <w:i/>
          <w:noProof/>
          <w:szCs w:val="22"/>
        </w:rPr>
        <w:t>a</w:t>
      </w:r>
    </w:p>
    <w:p w14:paraId="1FB06E38" w14:textId="23E1B710" w:rsidR="00E95B7F" w:rsidRDefault="00FA6383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>Ez a gyógyszer 0,00506 mg nátrium</w:t>
      </w:r>
      <w:r>
        <w:rPr>
          <w:noProof/>
          <w:szCs w:val="22"/>
        </w:rPr>
        <w:noBreakHyphen/>
        <w:t>benzoátot tartalmaz 500 mg</w:t>
      </w:r>
      <w:r w:rsidR="0050658C">
        <w:rPr>
          <w:noProof/>
          <w:szCs w:val="22"/>
        </w:rPr>
        <w:noBreakHyphen/>
        <w:t>os</w:t>
      </w:r>
      <w:r>
        <w:rPr>
          <w:noProof/>
          <w:szCs w:val="22"/>
        </w:rPr>
        <w:t xml:space="preserve"> tablettá</w:t>
      </w:r>
      <w:r w:rsidR="0050658C">
        <w:rPr>
          <w:noProof/>
          <w:szCs w:val="22"/>
        </w:rPr>
        <w:t>nként.</w:t>
      </w:r>
    </w:p>
    <w:p w14:paraId="58CD64E6" w14:textId="77777777" w:rsidR="00E95B7F" w:rsidRDefault="00E95B7F" w:rsidP="00831917">
      <w:pPr>
        <w:keepNext/>
        <w:spacing w:line="240" w:lineRule="auto"/>
        <w:rPr>
          <w:noProof/>
          <w:szCs w:val="22"/>
        </w:rPr>
      </w:pPr>
    </w:p>
    <w:p w14:paraId="1598E843" w14:textId="77777777" w:rsidR="00E95B7F" w:rsidRPr="00CF6B6C" w:rsidRDefault="00E95B7F" w:rsidP="00E95B7F">
      <w:pPr>
        <w:keepNext/>
        <w:spacing w:line="240" w:lineRule="auto"/>
        <w:rPr>
          <w:i/>
          <w:szCs w:val="22"/>
        </w:rPr>
      </w:pPr>
      <w:r w:rsidRPr="00CF6B6C">
        <w:rPr>
          <w:i/>
          <w:szCs w:val="22"/>
        </w:rPr>
        <w:t>Zinnat 125 mg filmtabletta</w:t>
      </w:r>
    </w:p>
    <w:p w14:paraId="2612FEC6" w14:textId="77777777" w:rsidR="00E95B7F" w:rsidRPr="00CF6B6C" w:rsidRDefault="00E95B7F" w:rsidP="00E95B7F">
      <w:pPr>
        <w:spacing w:line="240" w:lineRule="auto"/>
        <w:rPr>
          <w:i/>
          <w:szCs w:val="22"/>
        </w:rPr>
      </w:pPr>
      <w:r w:rsidRPr="00CF6B6C">
        <w:rPr>
          <w:i/>
          <w:szCs w:val="22"/>
        </w:rPr>
        <w:t>Zinnat 250 mg filmtabletta</w:t>
      </w:r>
    </w:p>
    <w:p w14:paraId="66E2D826" w14:textId="47837474" w:rsidR="00E607D7" w:rsidRDefault="00E95B7F" w:rsidP="00330765">
      <w:pPr>
        <w:spacing w:line="240" w:lineRule="auto"/>
        <w:rPr>
          <w:noProof/>
          <w:szCs w:val="22"/>
        </w:rPr>
      </w:pPr>
      <w:r w:rsidRPr="00CF6B6C">
        <w:rPr>
          <w:i/>
          <w:szCs w:val="22"/>
        </w:rPr>
        <w:t>Zinnat 500 mg filmtabletta</w:t>
      </w:r>
    </w:p>
    <w:p w14:paraId="6F928583" w14:textId="6EDE72B1" w:rsidR="005644C0" w:rsidRPr="002A00EC" w:rsidRDefault="00FA6383" w:rsidP="00831917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Ez a gyógyszer kevesebb mint 1 mmol </w:t>
      </w:r>
      <w:r w:rsidR="003422A3">
        <w:rPr>
          <w:noProof/>
          <w:szCs w:val="22"/>
        </w:rPr>
        <w:t xml:space="preserve">(23 mg) </w:t>
      </w:r>
      <w:r>
        <w:rPr>
          <w:noProof/>
          <w:szCs w:val="22"/>
        </w:rPr>
        <w:t xml:space="preserve">nátriumot tartalmaz, azaz gyakorlatilag </w:t>
      </w:r>
      <w:r w:rsidR="00EF1083">
        <w:rPr>
          <w:noProof/>
          <w:szCs w:val="22"/>
        </w:rPr>
        <w:t>„</w:t>
      </w:r>
      <w:r>
        <w:rPr>
          <w:noProof/>
          <w:szCs w:val="22"/>
        </w:rPr>
        <w:t>nátriummentes</w:t>
      </w:r>
      <w:r w:rsidR="00EF1083">
        <w:rPr>
          <w:noProof/>
          <w:szCs w:val="22"/>
        </w:rPr>
        <w:t>”</w:t>
      </w:r>
      <w:r>
        <w:rPr>
          <w:noProof/>
          <w:szCs w:val="22"/>
        </w:rPr>
        <w:t xml:space="preserve">. </w:t>
      </w:r>
    </w:p>
    <w:p w14:paraId="6318DF29" w14:textId="77777777" w:rsidR="005644C0" w:rsidRPr="002A00EC" w:rsidRDefault="005644C0" w:rsidP="00831917">
      <w:pPr>
        <w:spacing w:line="240" w:lineRule="auto"/>
        <w:rPr>
          <w:noProof/>
          <w:szCs w:val="22"/>
        </w:rPr>
      </w:pPr>
    </w:p>
    <w:p w14:paraId="4C360960" w14:textId="557BFDB5" w:rsidR="005644C0" w:rsidRPr="00263FA6" w:rsidRDefault="00B45177" w:rsidP="00831917">
      <w:pPr>
        <w:keepNext/>
        <w:spacing w:line="240" w:lineRule="auto"/>
        <w:rPr>
          <w:i/>
          <w:noProof/>
          <w:szCs w:val="22"/>
        </w:rPr>
      </w:pPr>
      <w:r w:rsidRPr="00263FA6">
        <w:rPr>
          <w:i/>
          <w:noProof/>
          <w:szCs w:val="22"/>
        </w:rPr>
        <w:t xml:space="preserve">Zinnat </w:t>
      </w:r>
      <w:r w:rsidR="005644C0" w:rsidRPr="00263FA6">
        <w:rPr>
          <w:i/>
          <w:noProof/>
          <w:szCs w:val="22"/>
        </w:rPr>
        <w:t xml:space="preserve">125 mg/5 ml </w:t>
      </w:r>
      <w:r w:rsidR="005644C0" w:rsidRPr="00263FA6">
        <w:rPr>
          <w:i/>
          <w:szCs w:val="22"/>
        </w:rPr>
        <w:t>granulátum belsőleges szuszpenzióhoz</w:t>
      </w:r>
      <w:r w:rsidR="005644C0" w:rsidRPr="00263FA6">
        <w:rPr>
          <w:i/>
          <w:noProof/>
          <w:szCs w:val="22"/>
        </w:rPr>
        <w:t xml:space="preserve"> </w:t>
      </w:r>
    </w:p>
    <w:p w14:paraId="50128DC7" w14:textId="44A77A53" w:rsidR="005644C0" w:rsidRDefault="005644C0" w:rsidP="00831917">
      <w:pPr>
        <w:keepNext/>
        <w:spacing w:line="240" w:lineRule="auto"/>
        <w:rPr>
          <w:noProof/>
          <w:szCs w:val="22"/>
        </w:rPr>
      </w:pPr>
      <w:r w:rsidRPr="002A00EC">
        <w:rPr>
          <w:noProof/>
          <w:szCs w:val="22"/>
        </w:rPr>
        <w:t>A cefuroxim</w:t>
      </w:r>
      <w:r w:rsidRPr="00831917">
        <w:rPr>
          <w:noProof/>
          <w:szCs w:val="22"/>
        </w:rPr>
        <w:noBreakHyphen/>
        <w:t>axetil szuszpenzió</w:t>
      </w:r>
      <w:r w:rsidR="001A6C6C" w:rsidRPr="00831917">
        <w:rPr>
          <w:noProof/>
          <w:szCs w:val="22"/>
        </w:rPr>
        <w:t xml:space="preserve"> szacharózt tartalmaz</w:t>
      </w:r>
      <w:r w:rsidR="00EA6011" w:rsidRPr="00831917">
        <w:rPr>
          <w:noProof/>
          <w:szCs w:val="22"/>
        </w:rPr>
        <w:t xml:space="preserve">, amit </w:t>
      </w:r>
      <w:r w:rsidRPr="00831917">
        <w:rPr>
          <w:noProof/>
          <w:szCs w:val="22"/>
        </w:rPr>
        <w:t>figyelembe kell venni cukorbetegek kezelésénél, akiket megfelelő tanácsokkal kell ellátni.</w:t>
      </w:r>
    </w:p>
    <w:p w14:paraId="40005907" w14:textId="24A3D71C" w:rsidR="00FA6383" w:rsidRPr="00831917" w:rsidRDefault="00FA6383" w:rsidP="00831917">
      <w:pPr>
        <w:keepNext/>
        <w:spacing w:line="240" w:lineRule="auto"/>
        <w:rPr>
          <w:noProof/>
          <w:szCs w:val="22"/>
        </w:rPr>
      </w:pPr>
    </w:p>
    <w:p w14:paraId="14139595" w14:textId="1836AF1B" w:rsidR="005B2973" w:rsidRPr="00831917" w:rsidRDefault="004F5129" w:rsidP="005B2973">
      <w:pPr>
        <w:keepNext/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Ez a gyógyszer </w:t>
      </w:r>
      <w:r w:rsidR="005B2973">
        <w:rPr>
          <w:noProof/>
          <w:szCs w:val="22"/>
        </w:rPr>
        <w:t>0,021 g aszpartámot (E951) tartalmaz 5 ml-es adag</w:t>
      </w:r>
      <w:r>
        <w:rPr>
          <w:noProof/>
          <w:szCs w:val="22"/>
        </w:rPr>
        <w:t>onként</w:t>
      </w:r>
      <w:r w:rsidR="005B2973">
        <w:rPr>
          <w:noProof/>
          <w:szCs w:val="22"/>
        </w:rPr>
        <w:t>. Az aszpartám egy fenilalanin</w:t>
      </w:r>
      <w:r>
        <w:rPr>
          <w:noProof/>
          <w:szCs w:val="22"/>
        </w:rPr>
        <w:t>-</w:t>
      </w:r>
      <w:r w:rsidR="005B2973">
        <w:rPr>
          <w:noProof/>
          <w:szCs w:val="22"/>
        </w:rPr>
        <w:t>forrás</w:t>
      </w:r>
      <w:r>
        <w:rPr>
          <w:noProof/>
          <w:szCs w:val="22"/>
        </w:rPr>
        <w:t>,</w:t>
      </w:r>
      <w:r w:rsidR="005B2973">
        <w:rPr>
          <w:noProof/>
          <w:szCs w:val="22"/>
        </w:rPr>
        <w:t xml:space="preserve"> ezért alkalmazása fenilketonúriában szenvedő betegeknél </w:t>
      </w:r>
      <w:r w:rsidR="003E4570">
        <w:rPr>
          <w:noProof/>
          <w:szCs w:val="22"/>
        </w:rPr>
        <w:t>kellő körültekintést</w:t>
      </w:r>
      <w:r w:rsidR="005B2973">
        <w:rPr>
          <w:noProof/>
          <w:szCs w:val="22"/>
        </w:rPr>
        <w:t xml:space="preserve"> igényel.</w:t>
      </w:r>
    </w:p>
    <w:p w14:paraId="6384233A" w14:textId="04E86B2A" w:rsidR="005B2973" w:rsidRPr="005F58D6" w:rsidRDefault="003E4570" w:rsidP="005B297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Ez a gyógyszer </w:t>
      </w:r>
      <w:r w:rsidR="00537C82">
        <w:rPr>
          <w:noProof/>
          <w:szCs w:val="22"/>
        </w:rPr>
        <w:t>3</w:t>
      </w:r>
      <w:r w:rsidR="005B2973">
        <w:rPr>
          <w:noProof/>
          <w:szCs w:val="22"/>
        </w:rPr>
        <w:t>,1</w:t>
      </w:r>
      <w:r w:rsidR="00537C82">
        <w:rPr>
          <w:noProof/>
          <w:szCs w:val="22"/>
        </w:rPr>
        <w:t> </w:t>
      </w:r>
      <w:r w:rsidR="00537C82" w:rsidRPr="005F58D6">
        <w:rPr>
          <w:noProof/>
          <w:szCs w:val="22"/>
        </w:rPr>
        <w:t>g szacharózt tart</w:t>
      </w:r>
      <w:r w:rsidR="00EF1083">
        <w:rPr>
          <w:noProof/>
          <w:szCs w:val="22"/>
        </w:rPr>
        <w:t>a</w:t>
      </w:r>
      <w:r w:rsidR="00537C82" w:rsidRPr="005F58D6">
        <w:rPr>
          <w:noProof/>
          <w:szCs w:val="22"/>
        </w:rPr>
        <w:t>lmaz 5 ml</w:t>
      </w:r>
      <w:r w:rsidR="00537C82" w:rsidRPr="005F58D6">
        <w:rPr>
          <w:noProof/>
          <w:szCs w:val="22"/>
        </w:rPr>
        <w:noBreakHyphen/>
        <w:t xml:space="preserve">es </w:t>
      </w:r>
      <w:r>
        <w:rPr>
          <w:noProof/>
          <w:szCs w:val="22"/>
        </w:rPr>
        <w:t>adagonként</w:t>
      </w:r>
      <w:r w:rsidR="00537C82" w:rsidRPr="005F58D6">
        <w:rPr>
          <w:noProof/>
          <w:szCs w:val="22"/>
        </w:rPr>
        <w:t xml:space="preserve">. </w:t>
      </w:r>
      <w:r w:rsidR="005B2973">
        <w:rPr>
          <w:noProof/>
          <w:szCs w:val="22"/>
        </w:rPr>
        <w:t>Ritkán előforduló, örökletes fruktózintoleranciában, glükóz-galaktóz malabszorpcióban vagy szacharáz-izomaltáz hiányban a készítmény nem szedhető.</w:t>
      </w:r>
    </w:p>
    <w:p w14:paraId="29D9549B" w14:textId="09C560E5" w:rsidR="00537C82" w:rsidRPr="005F58D6" w:rsidRDefault="003E4570" w:rsidP="005105D4">
      <w:pPr>
        <w:pStyle w:val="Listaszerbekezds"/>
        <w:spacing w:line="240" w:lineRule="auto"/>
        <w:ind w:left="0"/>
        <w:rPr>
          <w:noProof/>
          <w:szCs w:val="22"/>
        </w:rPr>
      </w:pPr>
      <w:r>
        <w:rPr>
          <w:noProof/>
          <w:szCs w:val="22"/>
        </w:rPr>
        <w:t xml:space="preserve">Ez a gyógyszer </w:t>
      </w:r>
      <w:r w:rsidR="00537C82">
        <w:rPr>
          <w:noProof/>
          <w:szCs w:val="22"/>
        </w:rPr>
        <w:t>6 </w:t>
      </w:r>
      <w:r w:rsidR="00537C82" w:rsidRPr="005F58D6">
        <w:rPr>
          <w:noProof/>
          <w:szCs w:val="22"/>
        </w:rPr>
        <w:t xml:space="preserve">mg propilénglikolt </w:t>
      </w:r>
      <w:r w:rsidR="00537C82">
        <w:rPr>
          <w:noProof/>
          <w:szCs w:val="22"/>
        </w:rPr>
        <w:t xml:space="preserve">(E1520) </w:t>
      </w:r>
      <w:r w:rsidR="00537C82" w:rsidRPr="005F58D6">
        <w:rPr>
          <w:noProof/>
          <w:szCs w:val="22"/>
        </w:rPr>
        <w:t>tartalmaz 5 ml</w:t>
      </w:r>
      <w:r w:rsidR="005F58D6">
        <w:rPr>
          <w:noProof/>
          <w:szCs w:val="22"/>
        </w:rPr>
        <w:noBreakHyphen/>
        <w:t>es</w:t>
      </w:r>
      <w:r w:rsidR="00537C82" w:rsidRPr="005F58D6">
        <w:rPr>
          <w:noProof/>
          <w:szCs w:val="22"/>
        </w:rPr>
        <w:t xml:space="preserve"> </w:t>
      </w:r>
      <w:r>
        <w:rPr>
          <w:noProof/>
          <w:szCs w:val="22"/>
        </w:rPr>
        <w:t>adagonként</w:t>
      </w:r>
      <w:r w:rsidR="00537C82" w:rsidRPr="005F58D6">
        <w:rPr>
          <w:noProof/>
          <w:szCs w:val="22"/>
        </w:rPr>
        <w:t>.</w:t>
      </w:r>
    </w:p>
    <w:p w14:paraId="0600A32E" w14:textId="0E8100A1" w:rsidR="00C30FC5" w:rsidRPr="005F58D6" w:rsidRDefault="003E4570" w:rsidP="005F58D6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Ez a gyógyszer </w:t>
      </w:r>
      <w:r w:rsidR="00537C82">
        <w:rPr>
          <w:noProof/>
          <w:szCs w:val="22"/>
        </w:rPr>
        <w:t>4,5 mg benzil</w:t>
      </w:r>
      <w:r w:rsidR="00537C82">
        <w:rPr>
          <w:noProof/>
          <w:szCs w:val="22"/>
        </w:rPr>
        <w:noBreakHyphen/>
        <w:t xml:space="preserve">alkoholt (E1519) tartalmaz </w:t>
      </w:r>
      <w:r w:rsidR="005F58D6">
        <w:rPr>
          <w:noProof/>
          <w:szCs w:val="22"/>
        </w:rPr>
        <w:t xml:space="preserve">5 ml-es </w:t>
      </w:r>
      <w:r>
        <w:rPr>
          <w:noProof/>
          <w:szCs w:val="22"/>
        </w:rPr>
        <w:t>adagonként</w:t>
      </w:r>
      <w:r w:rsidR="005F58D6">
        <w:rPr>
          <w:noProof/>
          <w:szCs w:val="22"/>
        </w:rPr>
        <w:t xml:space="preserve">. </w:t>
      </w:r>
      <w:r w:rsidR="00A86160">
        <w:rPr>
          <w:noProof/>
          <w:szCs w:val="22"/>
        </w:rPr>
        <w:t>A b</w:t>
      </w:r>
      <w:r w:rsidR="005F58D6">
        <w:rPr>
          <w:noProof/>
          <w:szCs w:val="22"/>
        </w:rPr>
        <w:t>enzil</w:t>
      </w:r>
      <w:r w:rsidR="005F58D6">
        <w:rPr>
          <w:noProof/>
          <w:szCs w:val="22"/>
        </w:rPr>
        <w:noBreakHyphen/>
        <w:t xml:space="preserve">alkohol allergiás reakciót okozhat. </w:t>
      </w:r>
      <w:r w:rsidR="005B2973">
        <w:rPr>
          <w:noProof/>
          <w:szCs w:val="22"/>
        </w:rPr>
        <w:t>A benzil-alkohol</w:t>
      </w:r>
      <w:r>
        <w:rPr>
          <w:noProof/>
          <w:szCs w:val="22"/>
        </w:rPr>
        <w:t xml:space="preserve"> csak</w:t>
      </w:r>
      <w:r w:rsidR="005B2973">
        <w:rPr>
          <w:noProof/>
          <w:szCs w:val="22"/>
        </w:rPr>
        <w:t xml:space="preserve"> körültekintéssel alkalmazható vese- vagy májkárosodásban szenvedő betegeknél vagy terhes és szoptató betegeknél, az akkumuláció és a toxicitás kockázata miatt (metabolikus acidózis). Nagy mennyiségben csak körültekintéssel alkalmazható és csak akkor, ha elengedhetetlenül szükséges, különösen máj- vagy vesekárosodásban szenvedő betegeknél az akkumuláció kockázata miatt. Továbbá a cefuroxim-axetil szuszpenzió egy</w:t>
      </w:r>
      <w:r>
        <w:rPr>
          <w:noProof/>
          <w:szCs w:val="22"/>
        </w:rPr>
        <w:t> </w:t>
      </w:r>
      <w:r w:rsidR="005B2973">
        <w:rPr>
          <w:noProof/>
          <w:szCs w:val="22"/>
        </w:rPr>
        <w:t xml:space="preserve">hétnél hosszabb ideig történő alkalmazása fiatal gyermekeknél (3 éves kor alatt) </w:t>
      </w:r>
      <w:r>
        <w:rPr>
          <w:noProof/>
          <w:szCs w:val="22"/>
        </w:rPr>
        <w:t xml:space="preserve">az akkumuláció kockázata miatt </w:t>
      </w:r>
      <w:r w:rsidR="005B2973">
        <w:rPr>
          <w:noProof/>
          <w:szCs w:val="22"/>
        </w:rPr>
        <w:t>kerülendő, kivéve</w:t>
      </w:r>
      <w:r>
        <w:rPr>
          <w:noProof/>
          <w:szCs w:val="22"/>
        </w:rPr>
        <w:t>,</w:t>
      </w:r>
      <w:r w:rsidR="005B2973">
        <w:rPr>
          <w:noProof/>
          <w:szCs w:val="22"/>
        </w:rPr>
        <w:t xml:space="preserve"> ha klinikailag szükséges.</w:t>
      </w:r>
    </w:p>
    <w:p w14:paraId="572E0840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BFF574B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4.5</w:t>
      </w:r>
      <w:r w:rsidRPr="00831917">
        <w:rPr>
          <w:b/>
          <w:szCs w:val="22"/>
        </w:rPr>
        <w:tab/>
        <w:t>Gyógyszerkölcsönhatások és egyéb interakciók</w:t>
      </w:r>
    </w:p>
    <w:p w14:paraId="2DC49C22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6AA68D8E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gyomor savasságát csökkentő gyógyszerek az éhgyomri állapottal összehasonlítva lecsökkenthetik a cefuroxim</w:t>
      </w:r>
      <w:r w:rsidRPr="00831917">
        <w:rPr>
          <w:noProof/>
          <w:szCs w:val="22"/>
        </w:rPr>
        <w:noBreakHyphen/>
        <w:t>axetil biohasznosulását, és semlegesíthetik az étkezés utáni fokozott felszívódás hatását.</w:t>
      </w:r>
    </w:p>
    <w:p w14:paraId="12916C30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732667EF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 xml:space="preserve">A cefuroxim glomerulus filtrációval és tubuláris szekrécióval választódik ki. A probenecid egyidejű alkalmazása nem </w:t>
      </w:r>
      <w:r w:rsidR="005244E1" w:rsidRPr="00831917">
        <w:rPr>
          <w:noProof/>
          <w:szCs w:val="22"/>
        </w:rPr>
        <w:t>ajánlott</w:t>
      </w:r>
      <w:r w:rsidRPr="00831917">
        <w:rPr>
          <w:noProof/>
          <w:szCs w:val="22"/>
        </w:rPr>
        <w:t>. Probenecid egyidejű alkalmazása jelentősen megnöveli a cefuroxim szérum csúcskoncentrációját, a szérumkoncentráció</w:t>
      </w:r>
      <w:r w:rsidR="005244E1" w:rsidRPr="00831917">
        <w:rPr>
          <w:noProof/>
          <w:szCs w:val="22"/>
        </w:rPr>
        <w:t>-</w:t>
      </w:r>
      <w:r w:rsidRPr="00831917">
        <w:rPr>
          <w:noProof/>
          <w:szCs w:val="22"/>
        </w:rPr>
        <w:t xml:space="preserve">idő görbe alatti területét és eliminációs </w:t>
      </w:r>
      <w:r w:rsidR="005244E1" w:rsidRPr="00831917">
        <w:rPr>
          <w:noProof/>
          <w:szCs w:val="22"/>
        </w:rPr>
        <w:t xml:space="preserve">felezési </w:t>
      </w:r>
      <w:r w:rsidRPr="00831917">
        <w:rPr>
          <w:noProof/>
          <w:szCs w:val="22"/>
        </w:rPr>
        <w:t>idejét.</w:t>
      </w:r>
    </w:p>
    <w:p w14:paraId="236E1EE2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52A37CAC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Orális antikoagulánsok egyidejű alkalmazása emelkedett INR ( nemzetközi normalizált arány) értéket eredményezhet.</w:t>
      </w:r>
    </w:p>
    <w:p w14:paraId="64F2B1A4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D95D4A4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4.6</w:t>
      </w:r>
      <w:r w:rsidRPr="00831917">
        <w:rPr>
          <w:b/>
          <w:szCs w:val="22"/>
        </w:rPr>
        <w:tab/>
      </w:r>
      <w:r w:rsidRPr="00831917">
        <w:rPr>
          <w:b/>
          <w:noProof/>
          <w:szCs w:val="22"/>
        </w:rPr>
        <w:t>Termékenység, t</w:t>
      </w:r>
      <w:r w:rsidRPr="00831917">
        <w:rPr>
          <w:b/>
          <w:szCs w:val="22"/>
        </w:rPr>
        <w:t>erhesség és szoptatás</w:t>
      </w:r>
    </w:p>
    <w:p w14:paraId="080B7F48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3C1EAF9E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Terhesség</w:t>
      </w:r>
    </w:p>
    <w:p w14:paraId="00441EAA" w14:textId="0713EAB4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szCs w:val="22"/>
        </w:rPr>
        <w:t>A cefuroxim terhes nőknél történő alkalmazása tekintetében korlátozott mennyiségű adat áll rendelkezésre</w:t>
      </w:r>
      <w:r w:rsidRPr="00831917">
        <w:rPr>
          <w:noProof/>
          <w:szCs w:val="22"/>
        </w:rPr>
        <w:t xml:space="preserve">. Állatkísérletek nem </w:t>
      </w:r>
      <w:r w:rsidR="001F4343">
        <w:rPr>
          <w:noProof/>
          <w:szCs w:val="22"/>
        </w:rPr>
        <w:t xml:space="preserve">mutattak ki </w:t>
      </w:r>
      <w:r w:rsidRPr="00831917">
        <w:rPr>
          <w:noProof/>
          <w:szCs w:val="22"/>
        </w:rPr>
        <w:t>káros hatást a vemhesség, az embrionális vagy foetalis fejlődés, a vajúdás, illetve a posztnatális fejlődés tekintetében. A Zinnat csak akkor rendelhető terhes nőknek, ha az előnyök meghaladják a kockázatokat.</w:t>
      </w:r>
    </w:p>
    <w:p w14:paraId="50590033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01699753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lastRenderedPageBreak/>
        <w:t>Szoptatás</w:t>
      </w:r>
    </w:p>
    <w:p w14:paraId="4ADEF124" w14:textId="221FB1A4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cefuroxim kis mennyiségben kiválasztódik a humán anyatejbe. Terápiás adagok esetében mellékhatások nem várhatók, mindazonáltal, a hasmenés és a nyálkahártyák gombás fertőzésének kockázatát nem lehet kizárni. Ezen hatások miatt a szoptatást esetleg fel kell függeszteni. A szenzitizá</w:t>
      </w:r>
      <w:r w:rsidR="001F4343">
        <w:rPr>
          <w:noProof/>
          <w:szCs w:val="22"/>
        </w:rPr>
        <w:t>ció</w:t>
      </w:r>
      <w:r w:rsidRPr="00831917">
        <w:rPr>
          <w:noProof/>
          <w:szCs w:val="22"/>
        </w:rPr>
        <w:t xml:space="preserve"> lehetőségét figyelembe kell venni. A cefuroxim csak akkor alkalmazható szoptatás alatt, ha a kezelőorvos mérlegelte a haszon/kockázat arányt.</w:t>
      </w:r>
    </w:p>
    <w:p w14:paraId="65D5CF70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5683ED6D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Termékenység</w:t>
      </w:r>
    </w:p>
    <w:p w14:paraId="1E386476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Nincs adat a cefuroxim</w:t>
      </w:r>
      <w:r w:rsidRPr="00831917">
        <w:rPr>
          <w:noProof/>
          <w:szCs w:val="22"/>
        </w:rPr>
        <w:noBreakHyphen/>
        <w:t>axetil humán termékenységre gyakorolt hatásairól. Állatokon végzett reprodukciós vizsgálatok nem mutattak fertilitásra gyakorolt hatásokat.</w:t>
      </w:r>
    </w:p>
    <w:p w14:paraId="7472D1FD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73EECFEB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bCs/>
          <w:szCs w:val="22"/>
        </w:rPr>
      </w:pPr>
      <w:r w:rsidRPr="00831917">
        <w:rPr>
          <w:b/>
          <w:bCs/>
          <w:szCs w:val="22"/>
        </w:rPr>
        <w:t>4.7</w:t>
      </w:r>
      <w:r w:rsidRPr="00831917">
        <w:rPr>
          <w:b/>
          <w:bCs/>
          <w:szCs w:val="22"/>
        </w:rPr>
        <w:tab/>
        <w:t xml:space="preserve">A készítmény hatásai a gépjárművezetéshez és </w:t>
      </w:r>
      <w:r w:rsidR="00544F06" w:rsidRPr="00831917">
        <w:rPr>
          <w:b/>
          <w:bCs/>
          <w:szCs w:val="22"/>
        </w:rPr>
        <w:t xml:space="preserve">a </w:t>
      </w:r>
      <w:r w:rsidRPr="00831917">
        <w:rPr>
          <w:b/>
          <w:bCs/>
          <w:szCs w:val="22"/>
        </w:rPr>
        <w:t xml:space="preserve">gépek </w:t>
      </w:r>
      <w:r w:rsidRPr="00831917">
        <w:rPr>
          <w:b/>
          <w:bCs/>
          <w:noProof/>
          <w:szCs w:val="22"/>
        </w:rPr>
        <w:t>kezeléséhez</w:t>
      </w:r>
      <w:r w:rsidRPr="00831917">
        <w:rPr>
          <w:b/>
          <w:bCs/>
          <w:szCs w:val="22"/>
        </w:rPr>
        <w:t xml:space="preserve"> szükséges képességekre</w:t>
      </w:r>
    </w:p>
    <w:p w14:paraId="2BAB51B3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666A0615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 xml:space="preserve">A gépjárművezetéshez és </w:t>
      </w:r>
      <w:r w:rsidR="00544F06" w:rsidRPr="00831917">
        <w:rPr>
          <w:szCs w:val="22"/>
        </w:rPr>
        <w:t xml:space="preserve">a </w:t>
      </w:r>
      <w:r w:rsidRPr="00831917">
        <w:rPr>
          <w:szCs w:val="22"/>
        </w:rPr>
        <w:t xml:space="preserve">gépek </w:t>
      </w:r>
      <w:r w:rsidRPr="00831917">
        <w:rPr>
          <w:noProof/>
          <w:szCs w:val="22"/>
        </w:rPr>
        <w:t>kezeléséhez</w:t>
      </w:r>
      <w:r w:rsidRPr="00831917">
        <w:rPr>
          <w:szCs w:val="22"/>
        </w:rPr>
        <w:t xml:space="preserve"> szükséges képességeket befolyásoló hatásokat nem vizsgálták</w:t>
      </w:r>
      <w:r w:rsidRPr="00831917">
        <w:rPr>
          <w:bCs/>
          <w:szCs w:val="22"/>
        </w:rPr>
        <w:t>. Mindazonáltal</w:t>
      </w:r>
      <w:r w:rsidRPr="00831917">
        <w:rPr>
          <w:noProof/>
          <w:szCs w:val="22"/>
        </w:rPr>
        <w:t>, mivel ez a gyógyszer szédülést okozhat,</w:t>
      </w:r>
      <w:r w:rsidRPr="00831917">
        <w:rPr>
          <w:bCs/>
          <w:szCs w:val="22"/>
        </w:rPr>
        <w:t xml:space="preserve"> a betegeket figyelmeztetni kell, hogy legyenek óvatosak, mikor gépjárművet vezetnek vagy gépet kezelnek.</w:t>
      </w:r>
    </w:p>
    <w:p w14:paraId="0C784D77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7E408F0A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4.8</w:t>
      </w:r>
      <w:r w:rsidRPr="00831917">
        <w:rPr>
          <w:b/>
          <w:szCs w:val="22"/>
        </w:rPr>
        <w:tab/>
        <w:t>Nemkívánatos hatások, mellékhatások</w:t>
      </w:r>
    </w:p>
    <w:p w14:paraId="0DBC7769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123DA587" w14:textId="34EEA789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 xml:space="preserve">A leggyakoribb mellékhatások közé tartozik a </w:t>
      </w:r>
      <w:r w:rsidRPr="00CF6B6C">
        <w:rPr>
          <w:i/>
          <w:szCs w:val="22"/>
        </w:rPr>
        <w:t>Candida</w:t>
      </w:r>
      <w:r w:rsidRPr="00831917">
        <w:rPr>
          <w:szCs w:val="22"/>
        </w:rPr>
        <w:t xml:space="preserve"> </w:t>
      </w:r>
      <w:r w:rsidR="00752CE7" w:rsidRPr="00831917">
        <w:rPr>
          <w:szCs w:val="22"/>
        </w:rPr>
        <w:t>e</w:t>
      </w:r>
      <w:r w:rsidRPr="00831917">
        <w:rPr>
          <w:szCs w:val="22"/>
        </w:rPr>
        <w:t xml:space="preserve">lszaporodása, az eosinophilia, a fejfájás, a szédülés, a gastrointestinalis </w:t>
      </w:r>
      <w:r w:rsidR="001F4343">
        <w:rPr>
          <w:szCs w:val="22"/>
        </w:rPr>
        <w:t xml:space="preserve">zavarok </w:t>
      </w:r>
      <w:r w:rsidRPr="00831917">
        <w:rPr>
          <w:szCs w:val="22"/>
        </w:rPr>
        <w:t>és az átmeneti májenzimszint-emelkedés.</w:t>
      </w:r>
    </w:p>
    <w:p w14:paraId="6203F03A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C23C626" w14:textId="68C78C10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 mellékhatásokhoz rendelt alábbi gyakorisági kategóriák becslések, mivel a legtöbb reakció esetében nem állnak rendelkezésre megfelelő adatok </w:t>
      </w:r>
      <w:r w:rsidR="001F4343" w:rsidRPr="00831917">
        <w:rPr>
          <w:szCs w:val="22"/>
        </w:rPr>
        <w:t xml:space="preserve">(pl. placebo-kontrollált klinikai vizsgálatok) </w:t>
      </w:r>
      <w:r w:rsidRPr="00831917">
        <w:rPr>
          <w:szCs w:val="22"/>
        </w:rPr>
        <w:t>az előfordulási gyakoriság kiszámításához. Ezen felül a cefuroxim</w:t>
      </w:r>
      <w:r w:rsidRPr="00831917">
        <w:rPr>
          <w:szCs w:val="22"/>
        </w:rPr>
        <w:noBreakHyphen/>
        <w:t>axetillel összefüggő mellékhatások incidenciája a javallatok szerint változhat.</w:t>
      </w:r>
    </w:p>
    <w:p w14:paraId="13757AEC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CF95E6B" w14:textId="54C876E5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Nagy klinikai vizsgálatokból származó adatokat használtak fel a nagyon gyakoritól </w:t>
      </w:r>
      <w:r w:rsidR="005B4D87">
        <w:rPr>
          <w:szCs w:val="22"/>
        </w:rPr>
        <w:t xml:space="preserve">a </w:t>
      </w:r>
      <w:r w:rsidRPr="00831917">
        <w:rPr>
          <w:szCs w:val="22"/>
        </w:rPr>
        <w:t xml:space="preserve">ritkáig terjedő mellékhatások gyakoriságának meghatározásához. Az összes többi mellékhatáshoz (azaz a &lt; 1/10 000 esetben előfordulókhoz) rendelt gyakoriságok meghatározása főként </w:t>
      </w:r>
      <w:r w:rsidR="00EA6011" w:rsidRPr="00831917">
        <w:rPr>
          <w:szCs w:val="22"/>
        </w:rPr>
        <w:t xml:space="preserve">a </w:t>
      </w:r>
      <w:r w:rsidRPr="00831917">
        <w:rPr>
          <w:szCs w:val="22"/>
        </w:rPr>
        <w:t>forgalomba hozatal utáni adatok alapján történt, és inkább a jelentési arányt, mintsem a valódi gyakoriságot tükrözik. Placebo-kontroll</w:t>
      </w:r>
      <w:r w:rsidR="00EA6011" w:rsidRPr="00831917">
        <w:rPr>
          <w:szCs w:val="22"/>
        </w:rPr>
        <w:t>ált</w:t>
      </w:r>
      <w:r w:rsidRPr="00831917">
        <w:rPr>
          <w:szCs w:val="22"/>
        </w:rPr>
        <w:t xml:space="preserve"> vizsgálati adatok nem álltak rendelkezésre. Ahol az előfordulási gyakoriságokat klinikai vizsgálati adatokból számították ki, ezek gyógyszerrel kapcsolatos (vizsgáló által értékelt) adatokon alapultak. </w:t>
      </w:r>
      <w:r w:rsidRPr="00831917">
        <w:rPr>
          <w:noProof/>
          <w:szCs w:val="22"/>
        </w:rPr>
        <w:t>Az egyes gyakorisági kategóriákon belül a mellékhatások csökkenő súlyosság szerint vannak feltüntetve</w:t>
      </w:r>
      <w:r w:rsidRPr="00831917">
        <w:rPr>
          <w:szCs w:val="22"/>
        </w:rPr>
        <w:t>.</w:t>
      </w:r>
    </w:p>
    <w:p w14:paraId="25A7E891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591D745" w14:textId="5FE8C6E6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 kezeléssel összefüggő mellékhatások összes fokozata az alábbiakban a MedDRA szervrendszer szerinti osztályozásban, gyakoriság és súlyosság szerint van felsorolva. A gyakoriság osztályozása az alábbi konvenció alapján történt: </w:t>
      </w:r>
      <w:r w:rsidRPr="00831917">
        <w:rPr>
          <w:color w:val="000000"/>
          <w:szCs w:val="22"/>
        </w:rPr>
        <w:t>nagyon gyakori ≥ 1/10; gyakori ≥ 1/100</w:t>
      </w:r>
      <w:r w:rsidRPr="00831917">
        <w:rPr>
          <w:szCs w:val="22"/>
        </w:rPr>
        <w:t> </w:t>
      </w:r>
      <w:r w:rsidRPr="00831917">
        <w:rPr>
          <w:noProof/>
          <w:szCs w:val="22"/>
        </w:rPr>
        <w:t>– </w:t>
      </w:r>
      <w:r w:rsidRPr="00831917">
        <w:rPr>
          <w:color w:val="000000"/>
          <w:szCs w:val="22"/>
        </w:rPr>
        <w:t>&lt; 1/10; nem gyakori ≥ 1/1000</w:t>
      </w:r>
      <w:r w:rsidRPr="00831917">
        <w:rPr>
          <w:szCs w:val="22"/>
        </w:rPr>
        <w:t> </w:t>
      </w:r>
      <w:r w:rsidRPr="00831917">
        <w:rPr>
          <w:noProof/>
          <w:szCs w:val="22"/>
        </w:rPr>
        <w:t>– </w:t>
      </w:r>
      <w:r w:rsidRPr="00831917">
        <w:rPr>
          <w:color w:val="000000"/>
          <w:szCs w:val="22"/>
        </w:rPr>
        <w:t>&lt;</w:t>
      </w:r>
      <w:r w:rsidRPr="00831917">
        <w:rPr>
          <w:szCs w:val="22"/>
        </w:rPr>
        <w:t> </w:t>
      </w:r>
      <w:r w:rsidRPr="00831917">
        <w:rPr>
          <w:color w:val="000000"/>
          <w:szCs w:val="22"/>
        </w:rPr>
        <w:t>1/100; ritka ≥ 1/10 000</w:t>
      </w:r>
      <w:r w:rsidRPr="00831917">
        <w:rPr>
          <w:szCs w:val="22"/>
        </w:rPr>
        <w:t> </w:t>
      </w:r>
      <w:r w:rsidRPr="00831917">
        <w:rPr>
          <w:noProof/>
          <w:szCs w:val="22"/>
        </w:rPr>
        <w:t>– </w:t>
      </w:r>
      <w:r w:rsidRPr="00831917">
        <w:rPr>
          <w:color w:val="000000"/>
          <w:szCs w:val="22"/>
        </w:rPr>
        <w:t>&lt; 1/1000; nagyon ritka &lt; 1/10 000 és</w:t>
      </w:r>
      <w:r w:rsidRPr="00831917">
        <w:rPr>
          <w:szCs w:val="22"/>
        </w:rPr>
        <w:t xml:space="preserve"> nem ismert (a </w:t>
      </w:r>
      <w:r w:rsidR="004039A9">
        <w:rPr>
          <w:szCs w:val="22"/>
        </w:rPr>
        <w:t xml:space="preserve">gyakoriság a </w:t>
      </w:r>
      <w:r w:rsidRPr="00831917">
        <w:rPr>
          <w:szCs w:val="22"/>
        </w:rPr>
        <w:t>rendelkezésre álló adatokból nem állapítható meg).</w:t>
      </w:r>
    </w:p>
    <w:p w14:paraId="36FC4EAE" w14:textId="77777777" w:rsidR="005644C0" w:rsidRPr="00831917" w:rsidRDefault="005644C0" w:rsidP="00831917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6"/>
        <w:gridCol w:w="2158"/>
        <w:gridCol w:w="2404"/>
        <w:gridCol w:w="2682"/>
      </w:tblGrid>
      <w:tr w:rsidR="005644C0" w:rsidRPr="00831917" w14:paraId="03244654" w14:textId="77777777" w:rsidTr="00EA6011">
        <w:trPr>
          <w:tblHeader/>
        </w:trPr>
        <w:tc>
          <w:tcPr>
            <w:tcW w:w="0" w:type="auto"/>
          </w:tcPr>
          <w:p w14:paraId="0863302C" w14:textId="208D16F9" w:rsidR="005644C0" w:rsidRPr="00831917" w:rsidRDefault="005644C0" w:rsidP="00974295">
            <w:pPr>
              <w:pStyle w:val="tabletextNS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  <w:r w:rsidR="00974295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i kategória</w:t>
            </w:r>
          </w:p>
        </w:tc>
        <w:tc>
          <w:tcPr>
            <w:tcW w:w="2155" w:type="dxa"/>
          </w:tcPr>
          <w:p w14:paraId="603BBBFC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479" w:type="dxa"/>
          </w:tcPr>
          <w:p w14:paraId="6EA78EA2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835" w:type="dxa"/>
          </w:tcPr>
          <w:p w14:paraId="2D17BFC2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Nem ismert</w:t>
            </w:r>
          </w:p>
        </w:tc>
      </w:tr>
      <w:tr w:rsidR="005644C0" w:rsidRPr="00831917" w14:paraId="38C87EA8" w14:textId="77777777" w:rsidTr="00506EAF">
        <w:tc>
          <w:tcPr>
            <w:tcW w:w="0" w:type="auto"/>
          </w:tcPr>
          <w:p w14:paraId="21AAB79E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2155" w:type="dxa"/>
          </w:tcPr>
          <w:p w14:paraId="2D52FD99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a</w:t>
            </w:r>
            <w:r w:rsidRPr="005B4D87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 xml:space="preserve"> </w:t>
            </w:r>
            <w:r w:rsidRPr="00CF6B6C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Candida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752CE7" w:rsidRPr="00831917">
              <w:rPr>
                <w:rFonts w:ascii="Times New Roman" w:hAnsi="Times New Roman"/>
                <w:sz w:val="22"/>
                <w:szCs w:val="22"/>
                <w:lang w:val="hu-HU"/>
              </w:rPr>
              <w:t>e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lszaporodása</w:t>
            </w:r>
          </w:p>
        </w:tc>
        <w:tc>
          <w:tcPr>
            <w:tcW w:w="2479" w:type="dxa"/>
          </w:tcPr>
          <w:p w14:paraId="63D78EDA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835" w:type="dxa"/>
          </w:tcPr>
          <w:p w14:paraId="5F902AD8" w14:textId="22BEE743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a </w:t>
            </w:r>
            <w:r w:rsidR="005B2973" w:rsidRPr="00831917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Clostridi</w:t>
            </w:r>
            <w:r w:rsidR="005B2973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oides</w:t>
            </w:r>
            <w:r w:rsidR="005B2973" w:rsidRPr="00831917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 xml:space="preserve"> </w:t>
            </w:r>
            <w:r w:rsidRPr="00831917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difficile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752CE7" w:rsidRPr="00831917">
              <w:rPr>
                <w:rFonts w:ascii="Times New Roman" w:hAnsi="Times New Roman"/>
                <w:sz w:val="22"/>
                <w:szCs w:val="22"/>
                <w:lang w:val="hu-HU"/>
              </w:rPr>
              <w:t>e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lszaporodása</w:t>
            </w:r>
          </w:p>
        </w:tc>
      </w:tr>
      <w:tr w:rsidR="005644C0" w:rsidRPr="00831917" w14:paraId="2EEAC69B" w14:textId="77777777" w:rsidTr="00506EAF">
        <w:tc>
          <w:tcPr>
            <w:tcW w:w="0" w:type="auto"/>
          </w:tcPr>
          <w:p w14:paraId="7EAFB2DE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2155" w:type="dxa"/>
          </w:tcPr>
          <w:p w14:paraId="356DE590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eosinophilia</w:t>
            </w:r>
          </w:p>
        </w:tc>
        <w:tc>
          <w:tcPr>
            <w:tcW w:w="2479" w:type="dxa"/>
          </w:tcPr>
          <w:p w14:paraId="540C82FA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pozitív Coombs teszt, thrombocytopenia, leukopenia (esetenként súlyos)</w:t>
            </w:r>
          </w:p>
        </w:tc>
        <w:tc>
          <w:tcPr>
            <w:tcW w:w="2835" w:type="dxa"/>
          </w:tcPr>
          <w:p w14:paraId="7F099D76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haemolyti</w:t>
            </w:r>
            <w:r w:rsidR="00752CE7" w:rsidRPr="00831917">
              <w:rPr>
                <w:rFonts w:ascii="Times New Roman" w:hAnsi="Times New Roman"/>
                <w:sz w:val="22"/>
                <w:szCs w:val="22"/>
                <w:lang w:val="hu-HU"/>
              </w:rPr>
              <w:t>c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us anaemia</w:t>
            </w:r>
          </w:p>
        </w:tc>
      </w:tr>
      <w:tr w:rsidR="009A6659" w:rsidRPr="00831917" w14:paraId="3D1B1A5F" w14:textId="77777777" w:rsidTr="00506EAF">
        <w:tc>
          <w:tcPr>
            <w:tcW w:w="0" w:type="auto"/>
          </w:tcPr>
          <w:p w14:paraId="43AEF9E0" w14:textId="10F22C81" w:rsidR="009A6659" w:rsidRPr="00831917" w:rsidRDefault="009A6659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lastRenderedPageBreak/>
              <w:t>Szívbetegségek és a szívvel kapcsolatos tünetek</w:t>
            </w:r>
          </w:p>
        </w:tc>
        <w:tc>
          <w:tcPr>
            <w:tcW w:w="2155" w:type="dxa"/>
          </w:tcPr>
          <w:p w14:paraId="2AB4E83C" w14:textId="77777777" w:rsidR="009A6659" w:rsidRPr="00831917" w:rsidRDefault="009A6659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479" w:type="dxa"/>
          </w:tcPr>
          <w:p w14:paraId="793E01D0" w14:textId="77777777" w:rsidR="009A6659" w:rsidRPr="00831917" w:rsidRDefault="009A6659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835" w:type="dxa"/>
          </w:tcPr>
          <w:p w14:paraId="5AD8755B" w14:textId="35C96B1E" w:rsidR="009A6659" w:rsidRPr="00831917" w:rsidRDefault="009A6659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Kounis-szindróma</w:t>
            </w:r>
          </w:p>
        </w:tc>
      </w:tr>
      <w:tr w:rsidR="005644C0" w:rsidRPr="00831917" w14:paraId="3E3120E3" w14:textId="77777777" w:rsidTr="00506EAF">
        <w:tc>
          <w:tcPr>
            <w:tcW w:w="0" w:type="auto"/>
          </w:tcPr>
          <w:p w14:paraId="7FD20331" w14:textId="77777777" w:rsidR="005644C0" w:rsidRPr="00831917" w:rsidRDefault="005644C0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Immunrendszeri betegségek és tünetek </w:t>
            </w:r>
          </w:p>
        </w:tc>
        <w:tc>
          <w:tcPr>
            <w:tcW w:w="2155" w:type="dxa"/>
          </w:tcPr>
          <w:p w14:paraId="36D17BAB" w14:textId="77777777" w:rsidR="005644C0" w:rsidRPr="00831917" w:rsidRDefault="005644C0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479" w:type="dxa"/>
          </w:tcPr>
          <w:p w14:paraId="1D82152E" w14:textId="77777777" w:rsidR="005644C0" w:rsidRPr="00831917" w:rsidRDefault="005644C0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835" w:type="dxa"/>
          </w:tcPr>
          <w:p w14:paraId="2273592F" w14:textId="0A7EA340" w:rsidR="005644C0" w:rsidRPr="00831917" w:rsidRDefault="005644C0" w:rsidP="009855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gyógyszer okozta láz, szérumbetegség, anaphylaxi</w:t>
            </w:r>
            <w:r w:rsidR="00EA6011" w:rsidRPr="00831917">
              <w:rPr>
                <w:rFonts w:ascii="Times New Roman" w:hAnsi="Times New Roman"/>
                <w:sz w:val="22"/>
                <w:szCs w:val="22"/>
                <w:lang w:val="hu-HU"/>
              </w:rPr>
              <w:t>a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, Jarisc</w:t>
            </w:r>
            <w:r w:rsidR="00974295">
              <w:rPr>
                <w:rFonts w:ascii="Times New Roman" w:hAnsi="Times New Roman"/>
                <w:sz w:val="22"/>
                <w:szCs w:val="22"/>
                <w:lang w:val="hu-HU"/>
              </w:rPr>
              <w:t>h–H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erxheimer</w:t>
            </w:r>
            <w:r w:rsidR="00195D54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reakció</w:t>
            </w:r>
          </w:p>
        </w:tc>
      </w:tr>
      <w:tr w:rsidR="005644C0" w:rsidRPr="00831917" w14:paraId="3A7B6CB6" w14:textId="77777777" w:rsidTr="00506EAF">
        <w:tc>
          <w:tcPr>
            <w:tcW w:w="0" w:type="auto"/>
          </w:tcPr>
          <w:p w14:paraId="7DC782DF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2155" w:type="dxa"/>
          </w:tcPr>
          <w:p w14:paraId="69F4A01E" w14:textId="77777777" w:rsidR="00EA6011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fejfájás, </w:t>
            </w:r>
          </w:p>
          <w:p w14:paraId="68AF8985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479" w:type="dxa"/>
          </w:tcPr>
          <w:p w14:paraId="313B9F5D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835" w:type="dxa"/>
          </w:tcPr>
          <w:p w14:paraId="575D89C7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5644C0" w:rsidRPr="00B84A8B" w14:paraId="0E068967" w14:textId="77777777" w:rsidTr="00506EAF">
        <w:tc>
          <w:tcPr>
            <w:tcW w:w="0" w:type="auto"/>
          </w:tcPr>
          <w:p w14:paraId="2C065EA8" w14:textId="77777777" w:rsidR="005644C0" w:rsidRPr="00831917" w:rsidRDefault="005644C0" w:rsidP="00831917">
            <w:pPr>
              <w:pStyle w:val="tabletextNS"/>
              <w:keepNext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2155" w:type="dxa"/>
          </w:tcPr>
          <w:p w14:paraId="0B6A1306" w14:textId="77777777" w:rsidR="005644C0" w:rsidRPr="00831917" w:rsidRDefault="005644C0" w:rsidP="00831917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hasmenés,</w:t>
            </w:r>
          </w:p>
          <w:p w14:paraId="7F68854C" w14:textId="77777777" w:rsidR="005644C0" w:rsidRPr="00831917" w:rsidRDefault="005644C0" w:rsidP="00831917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hányinger,</w:t>
            </w:r>
          </w:p>
          <w:p w14:paraId="67CEB6AF" w14:textId="77777777" w:rsidR="005644C0" w:rsidRPr="00831917" w:rsidRDefault="005644C0" w:rsidP="00831917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hasi fájdalom</w:t>
            </w:r>
          </w:p>
        </w:tc>
        <w:tc>
          <w:tcPr>
            <w:tcW w:w="2479" w:type="dxa"/>
          </w:tcPr>
          <w:p w14:paraId="00433E01" w14:textId="77777777" w:rsidR="005644C0" w:rsidRPr="00831917" w:rsidRDefault="005644C0" w:rsidP="00831917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2835" w:type="dxa"/>
          </w:tcPr>
          <w:p w14:paraId="745D18BB" w14:textId="639173DF" w:rsidR="005644C0" w:rsidRPr="00B84A8B" w:rsidRDefault="005644C0" w:rsidP="00831917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B84A8B">
              <w:rPr>
                <w:rFonts w:ascii="Times New Roman" w:hAnsi="Times New Roman"/>
                <w:sz w:val="22"/>
                <w:szCs w:val="22"/>
                <w:lang w:val="hu-HU"/>
              </w:rPr>
              <w:t>pseudomembranos</w:t>
            </w:r>
            <w:r w:rsidR="007D1645" w:rsidRPr="00B84A8B">
              <w:rPr>
                <w:rFonts w:ascii="Times New Roman" w:hAnsi="Times New Roman"/>
                <w:sz w:val="22"/>
                <w:szCs w:val="22"/>
                <w:lang w:val="hu-HU"/>
              </w:rPr>
              <w:t>us colitis</w:t>
            </w:r>
            <w:r w:rsidR="00567EBB" w:rsidRPr="00B84A8B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="00CD24AB" w:rsidRPr="00B84A8B">
              <w:rPr>
                <w:rFonts w:ascii="Times New Roman" w:hAnsi="Times New Roman"/>
                <w:sz w:val="22"/>
                <w:szCs w:val="22"/>
                <w:lang w:val="hu-HU"/>
              </w:rPr>
              <w:t>(lásd 4.4 pont)</w:t>
            </w:r>
          </w:p>
          <w:p w14:paraId="328AB31F" w14:textId="77777777" w:rsidR="005644C0" w:rsidRPr="00B84A8B" w:rsidRDefault="005644C0" w:rsidP="00831917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5644C0" w:rsidRPr="00831917" w14:paraId="627E4794" w14:textId="77777777" w:rsidTr="00506EAF">
        <w:tc>
          <w:tcPr>
            <w:tcW w:w="0" w:type="auto"/>
          </w:tcPr>
          <w:p w14:paraId="2BD1DF6E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2155" w:type="dxa"/>
          </w:tcPr>
          <w:p w14:paraId="2D753C7B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a májenzimszintek átmeneti emelkedése</w:t>
            </w:r>
          </w:p>
        </w:tc>
        <w:tc>
          <w:tcPr>
            <w:tcW w:w="2479" w:type="dxa"/>
          </w:tcPr>
          <w:p w14:paraId="059DF309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835" w:type="dxa"/>
          </w:tcPr>
          <w:p w14:paraId="1781442A" w14:textId="35AFE46F" w:rsidR="00EA6011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B84A8B">
              <w:rPr>
                <w:rFonts w:ascii="Times New Roman" w:hAnsi="Times New Roman"/>
                <w:sz w:val="22"/>
                <w:szCs w:val="22"/>
                <w:lang w:val="hu-HU"/>
              </w:rPr>
              <w:t>sárgaság (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főként cholestati</w:t>
            </w:r>
            <w:r w:rsidR="00752CE7" w:rsidRPr="00831917">
              <w:rPr>
                <w:rFonts w:ascii="Times New Roman" w:hAnsi="Times New Roman"/>
                <w:sz w:val="22"/>
                <w:szCs w:val="22"/>
                <w:lang w:val="hu-HU"/>
              </w:rPr>
              <w:t>c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us), </w:t>
            </w:r>
          </w:p>
          <w:p w14:paraId="5520B2F5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hepatitis</w:t>
            </w:r>
          </w:p>
        </w:tc>
      </w:tr>
      <w:tr w:rsidR="005644C0" w:rsidRPr="00831917" w14:paraId="749D9079" w14:textId="77777777" w:rsidTr="00506EAF">
        <w:tc>
          <w:tcPr>
            <w:tcW w:w="0" w:type="auto"/>
          </w:tcPr>
          <w:p w14:paraId="218CEC28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noProof/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2155" w:type="dxa"/>
          </w:tcPr>
          <w:p w14:paraId="364C89E2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2479" w:type="dxa"/>
          </w:tcPr>
          <w:p w14:paraId="3152644A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bőrkiütés</w:t>
            </w:r>
          </w:p>
        </w:tc>
        <w:tc>
          <w:tcPr>
            <w:tcW w:w="2835" w:type="dxa"/>
          </w:tcPr>
          <w:p w14:paraId="40DE45C5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urticaria,</w:t>
            </w:r>
          </w:p>
          <w:p w14:paraId="2A277D12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pruritus,</w:t>
            </w:r>
          </w:p>
          <w:p w14:paraId="47F5E199" w14:textId="77777777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erythema multiforme,</w:t>
            </w:r>
          </w:p>
          <w:p w14:paraId="3EDC7E0D" w14:textId="1A9AE764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Stevens</w:t>
            </w:r>
            <w:r w:rsidR="00974295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Johnson</w:t>
            </w:r>
            <w:r w:rsidR="00974295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szindróma,</w:t>
            </w:r>
          </w:p>
          <w:p w14:paraId="2BDC9FE7" w14:textId="43ABA61E" w:rsidR="005644C0" w:rsidRPr="00831917" w:rsidRDefault="005644C0" w:rsidP="00831917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toxi</w:t>
            </w:r>
            <w:r w:rsidR="00974295">
              <w:rPr>
                <w:rFonts w:ascii="Times New Roman" w:hAnsi="Times New Roman"/>
                <w:sz w:val="22"/>
                <w:szCs w:val="22"/>
                <w:lang w:val="hu-HU"/>
              </w:rPr>
              <w:t>c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us epidermális necrolysis (exanthemás necrolysis) (lásd </w:t>
            </w:r>
            <w:r w:rsidRPr="00831917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Immunrendszeri betegségek és tünetek</w:t>
            </w: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),</w:t>
            </w:r>
          </w:p>
          <w:p w14:paraId="30F24834" w14:textId="2B10AEFB" w:rsidR="00974295" w:rsidRDefault="005644C0" w:rsidP="0097429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831917">
              <w:rPr>
                <w:rFonts w:ascii="Times New Roman" w:hAnsi="Times New Roman"/>
                <w:sz w:val="22"/>
                <w:szCs w:val="22"/>
                <w:lang w:val="hu-HU"/>
              </w:rPr>
              <w:t>angioneurotikus oedema</w:t>
            </w:r>
            <w:r w:rsidR="00974295">
              <w:rPr>
                <w:rFonts w:ascii="Times New Roman" w:hAnsi="Times New Roman"/>
                <w:sz w:val="22"/>
                <w:szCs w:val="22"/>
                <w:lang w:val="hu-HU"/>
              </w:rPr>
              <w:t>,</w:t>
            </w:r>
          </w:p>
          <w:p w14:paraId="49EF18F7" w14:textId="3A15A41B" w:rsidR="009A6659" w:rsidRPr="00831917" w:rsidRDefault="00974295" w:rsidP="0097429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e</w:t>
            </w:r>
            <w:r w:rsidR="009A6659">
              <w:rPr>
                <w:rFonts w:ascii="Times New Roman" w:hAnsi="Times New Roman"/>
                <w:sz w:val="22"/>
                <w:szCs w:val="22"/>
                <w:lang w:val="hu-HU"/>
              </w:rPr>
              <w:t>osinophiliával és szisztémás tünetekkel járó gyógyszerreakció (DRESS)</w:t>
            </w:r>
          </w:p>
        </w:tc>
      </w:tr>
      <w:tr w:rsidR="005644C0" w:rsidRPr="00831917" w14:paraId="013CC796" w14:textId="77777777" w:rsidTr="00506EAF">
        <w:tc>
          <w:tcPr>
            <w:tcW w:w="0" w:type="auto"/>
            <w:gridSpan w:val="4"/>
          </w:tcPr>
          <w:p w14:paraId="5BBC5C81" w14:textId="4A5541A4" w:rsidR="005644C0" w:rsidRPr="00831917" w:rsidRDefault="00552915" w:rsidP="00831917">
            <w:pPr>
              <w:spacing w:line="240" w:lineRule="auto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Egyes kiválasztott </w:t>
            </w:r>
            <w:r w:rsidR="005644C0" w:rsidRPr="00831917">
              <w:rPr>
                <w:i/>
                <w:szCs w:val="22"/>
              </w:rPr>
              <w:t>mellékhatások leírása</w:t>
            </w:r>
          </w:p>
          <w:p w14:paraId="6435A617" w14:textId="43C405C6" w:rsidR="005644C0" w:rsidRPr="00831917" w:rsidRDefault="005644C0" w:rsidP="00831917">
            <w:pPr>
              <w:spacing w:line="240" w:lineRule="auto"/>
              <w:rPr>
                <w:szCs w:val="22"/>
              </w:rPr>
            </w:pPr>
            <w:r w:rsidRPr="00831917">
              <w:rPr>
                <w:szCs w:val="22"/>
              </w:rPr>
              <w:t>A cefalosporinok gyógyszercsoportja hajlamos a vörösvértestek membránjának felszínére a</w:t>
            </w:r>
            <w:r w:rsidR="009B2A99" w:rsidRPr="00831917">
              <w:rPr>
                <w:szCs w:val="22"/>
              </w:rPr>
              <w:t>b</w:t>
            </w:r>
            <w:r w:rsidRPr="00831917">
              <w:rPr>
                <w:szCs w:val="22"/>
              </w:rPr>
              <w:t>szorbeálódni és a gyógyszer elleni antitestekkel reakcióba lépni, ezért a Coombs teszt pozitívvá válhat (</w:t>
            </w:r>
            <w:r w:rsidRPr="00DC1785">
              <w:rPr>
                <w:szCs w:val="22"/>
              </w:rPr>
              <w:t xml:space="preserve">ami megzavarhatja a </w:t>
            </w:r>
            <w:r w:rsidR="00DC1785" w:rsidRPr="00CF6B6C">
              <w:rPr>
                <w:szCs w:val="22"/>
              </w:rPr>
              <w:t xml:space="preserve">a vér kompatibilitási vizsgálat </w:t>
            </w:r>
            <w:r w:rsidRPr="00DC1785">
              <w:rPr>
                <w:szCs w:val="22"/>
              </w:rPr>
              <w:t>eredményét</w:t>
            </w:r>
            <w:r w:rsidRPr="00831917">
              <w:rPr>
                <w:szCs w:val="22"/>
              </w:rPr>
              <w:t>), és nagyon ritkán haemolyti</w:t>
            </w:r>
            <w:r w:rsidR="00752CE7" w:rsidRPr="00831917">
              <w:rPr>
                <w:szCs w:val="22"/>
              </w:rPr>
              <w:t>c</w:t>
            </w:r>
            <w:r w:rsidRPr="00831917">
              <w:rPr>
                <w:szCs w:val="22"/>
              </w:rPr>
              <w:t>us anaemia jelentkezhet.</w:t>
            </w:r>
          </w:p>
          <w:p w14:paraId="7931A967" w14:textId="521E448F" w:rsidR="005644C0" w:rsidRPr="00831917" w:rsidRDefault="005644C0" w:rsidP="00831917">
            <w:pPr>
              <w:tabs>
                <w:tab w:val="left" w:pos="142"/>
              </w:tabs>
              <w:spacing w:line="240" w:lineRule="auto"/>
              <w:ind w:left="142" w:hanging="142"/>
              <w:rPr>
                <w:szCs w:val="22"/>
              </w:rPr>
            </w:pPr>
            <w:r w:rsidRPr="00831917">
              <w:rPr>
                <w:szCs w:val="22"/>
              </w:rPr>
              <w:t>A szérum májenzimszintek átmeneti emelkedését figyelték meg, amely rendszerint reverz</w:t>
            </w:r>
            <w:r w:rsidR="005B4D87">
              <w:rPr>
                <w:szCs w:val="22"/>
              </w:rPr>
              <w:t>i</w:t>
            </w:r>
            <w:r w:rsidRPr="00831917">
              <w:rPr>
                <w:szCs w:val="22"/>
              </w:rPr>
              <w:t>bilis.</w:t>
            </w:r>
          </w:p>
        </w:tc>
      </w:tr>
    </w:tbl>
    <w:p w14:paraId="13C18004" w14:textId="77777777" w:rsidR="005644C0" w:rsidRPr="00831917" w:rsidRDefault="005644C0" w:rsidP="00831917">
      <w:pPr>
        <w:spacing w:line="240" w:lineRule="auto"/>
        <w:ind w:left="567" w:hanging="567"/>
        <w:rPr>
          <w:szCs w:val="22"/>
        </w:rPr>
      </w:pPr>
    </w:p>
    <w:p w14:paraId="0158C79D" w14:textId="77777777" w:rsidR="005644C0" w:rsidRPr="00831917" w:rsidRDefault="005644C0" w:rsidP="00831917">
      <w:pPr>
        <w:keepNext/>
        <w:spacing w:line="240" w:lineRule="auto"/>
        <w:ind w:left="567" w:hanging="567"/>
        <w:rPr>
          <w:szCs w:val="22"/>
        </w:rPr>
      </w:pPr>
      <w:r w:rsidRPr="00831917">
        <w:rPr>
          <w:i/>
          <w:szCs w:val="22"/>
        </w:rPr>
        <w:t>Gyermekek</w:t>
      </w:r>
      <w:r w:rsidR="00752CE7" w:rsidRPr="00831917">
        <w:rPr>
          <w:i/>
          <w:szCs w:val="22"/>
        </w:rPr>
        <w:t xml:space="preserve"> és serdülők </w:t>
      </w:r>
    </w:p>
    <w:p w14:paraId="45EE8CD1" w14:textId="77777777" w:rsidR="005644C0" w:rsidRPr="00831917" w:rsidRDefault="005644C0" w:rsidP="00831917">
      <w:pPr>
        <w:keepNext/>
        <w:spacing w:line="240" w:lineRule="auto"/>
        <w:ind w:left="567" w:hanging="567"/>
        <w:rPr>
          <w:szCs w:val="22"/>
        </w:rPr>
      </w:pPr>
      <w:r w:rsidRPr="00831917">
        <w:rPr>
          <w:szCs w:val="22"/>
        </w:rPr>
        <w:t>A cefuroxim</w:t>
      </w:r>
      <w:r w:rsidRPr="00831917">
        <w:rPr>
          <w:szCs w:val="22"/>
        </w:rPr>
        <w:noBreakHyphen/>
        <w:t>axetil biztonságossági profilja megegyezik a felnőttekével.</w:t>
      </w:r>
    </w:p>
    <w:p w14:paraId="6B9D07A7" w14:textId="77777777" w:rsidR="00567EBB" w:rsidRPr="00831917" w:rsidRDefault="00567EBB" w:rsidP="00831917">
      <w:pPr>
        <w:keepNext/>
        <w:spacing w:line="240" w:lineRule="auto"/>
        <w:ind w:left="567" w:hanging="567"/>
        <w:rPr>
          <w:szCs w:val="22"/>
        </w:rPr>
      </w:pPr>
    </w:p>
    <w:p w14:paraId="023B7793" w14:textId="77777777" w:rsidR="00CD24AB" w:rsidRPr="00831917" w:rsidRDefault="00CD24AB" w:rsidP="00831917">
      <w:pPr>
        <w:spacing w:line="240" w:lineRule="auto"/>
        <w:rPr>
          <w:szCs w:val="22"/>
          <w:u w:val="single"/>
        </w:rPr>
      </w:pPr>
      <w:r w:rsidRPr="00831917">
        <w:rPr>
          <w:szCs w:val="22"/>
          <w:u w:val="single"/>
        </w:rPr>
        <w:t>Feltételezett mellékhatások bejelentése</w:t>
      </w:r>
    </w:p>
    <w:p w14:paraId="3E66F714" w14:textId="77777777" w:rsidR="00CD24AB" w:rsidRPr="00831917" w:rsidRDefault="00CD24AB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0F218859" w14:textId="56B997D6" w:rsidR="00CD24AB" w:rsidRPr="00831917" w:rsidRDefault="00CD24AB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831917">
          <w:rPr>
            <w:rStyle w:val="Hiperhivatkozs"/>
            <w:szCs w:val="22"/>
          </w:rPr>
          <w:t>V. függelékben</w:t>
        </w:r>
      </w:hyperlink>
      <w:r w:rsidRPr="00831917">
        <w:rPr>
          <w:szCs w:val="22"/>
        </w:rPr>
        <w:t xml:space="preserve"> található elérhetőségek valamelyikén keresztül.</w:t>
      </w:r>
    </w:p>
    <w:p w14:paraId="14786CCA" w14:textId="77777777" w:rsidR="005644C0" w:rsidRPr="00831917" w:rsidRDefault="005644C0" w:rsidP="00831917">
      <w:pPr>
        <w:spacing w:line="240" w:lineRule="auto"/>
        <w:ind w:left="567" w:hanging="567"/>
        <w:rPr>
          <w:szCs w:val="22"/>
        </w:rPr>
      </w:pPr>
    </w:p>
    <w:p w14:paraId="6AF24C89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4.9</w:t>
      </w:r>
      <w:r w:rsidRPr="00831917">
        <w:rPr>
          <w:b/>
          <w:szCs w:val="22"/>
        </w:rPr>
        <w:tab/>
        <w:t>Túladagolás</w:t>
      </w:r>
    </w:p>
    <w:p w14:paraId="6C6F04B9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7A152F34" w14:textId="10BAB82E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>A túladagolás neurológiai következményekhez vezethet, beleértve az encephalopathiát, a convulsiókat és a kómát. A túladagolás tünetei előfordulhatnak, ha a dózist nem csökkentik megfelelő mértékben vesekárosod</w:t>
      </w:r>
      <w:r w:rsidR="00884CFF">
        <w:rPr>
          <w:szCs w:val="22"/>
        </w:rPr>
        <w:t>ásban szenvedő</w:t>
      </w:r>
      <w:r w:rsidRPr="00831917">
        <w:rPr>
          <w:szCs w:val="22"/>
        </w:rPr>
        <w:t xml:space="preserve"> betegeknél (lásd 4.2 és 4.4 pont).</w:t>
      </w:r>
    </w:p>
    <w:p w14:paraId="19C0E3CA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7EF86A4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lastRenderedPageBreak/>
        <w:t>A cefuroxim szérumszintje hemodialízissel vagy peritoneális dialízissel csökkenthető.</w:t>
      </w:r>
    </w:p>
    <w:p w14:paraId="5B0CF547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B2A8B5F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A31888A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5.</w:t>
      </w:r>
      <w:r w:rsidRPr="00831917">
        <w:rPr>
          <w:b/>
          <w:szCs w:val="22"/>
        </w:rPr>
        <w:tab/>
        <w:t>FARMAKOLÓGIAI TULAJDONSÁGOK</w:t>
      </w:r>
    </w:p>
    <w:p w14:paraId="694FE57B" w14:textId="77777777" w:rsidR="005644C0" w:rsidRPr="00831917" w:rsidRDefault="005644C0" w:rsidP="00831917">
      <w:pPr>
        <w:keepNext/>
        <w:spacing w:line="240" w:lineRule="auto"/>
        <w:rPr>
          <w:b/>
          <w:szCs w:val="22"/>
        </w:rPr>
      </w:pPr>
    </w:p>
    <w:p w14:paraId="3923873C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5.1</w:t>
      </w:r>
      <w:r w:rsidRPr="00831917">
        <w:rPr>
          <w:b/>
          <w:szCs w:val="22"/>
        </w:rPr>
        <w:tab/>
        <w:t>Farmakodinámiás tulajdonságok</w:t>
      </w:r>
    </w:p>
    <w:p w14:paraId="2307E3B0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00B69715" w14:textId="77777777" w:rsidR="00EA6011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>Farmakoterápiás csoport: Szisztémásan alkalmazott antibakteriális szerek; második generációs cefalosporinok</w:t>
      </w:r>
    </w:p>
    <w:p w14:paraId="77CEA052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>ATC kód: J01DC02</w:t>
      </w:r>
    </w:p>
    <w:p w14:paraId="4CE963A0" w14:textId="77777777" w:rsidR="005644C0" w:rsidRPr="00831917" w:rsidRDefault="005644C0" w:rsidP="00831917">
      <w:pPr>
        <w:spacing w:line="240" w:lineRule="auto"/>
        <w:rPr>
          <w:noProof/>
          <w:color w:val="008000"/>
          <w:szCs w:val="22"/>
        </w:rPr>
      </w:pPr>
    </w:p>
    <w:p w14:paraId="309FBD7A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Hatásmechanizmus</w:t>
      </w:r>
    </w:p>
    <w:p w14:paraId="7B34CEAD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cefuroxim</w:t>
      </w:r>
      <w:r w:rsidRPr="00831917">
        <w:rPr>
          <w:noProof/>
          <w:szCs w:val="22"/>
        </w:rPr>
        <w:noBreakHyphen/>
        <w:t xml:space="preserve">axetilt az észteráz enzimek hidrolizálják cefuroximmá, az aktív antibiotikummá. A cefuroxim a penicillinkötő fehérjékhez való kapcsolódást követően gátolja a bakteriális sejtfalszintézist. </w:t>
      </w:r>
      <w:r w:rsidRPr="00831917">
        <w:rPr>
          <w:szCs w:val="22"/>
        </w:rPr>
        <w:t>Ennek eredményeként megszakad a sejtfal (</w:t>
      </w:r>
      <w:r w:rsidRPr="00831917">
        <w:rPr>
          <w:noProof/>
          <w:szCs w:val="22"/>
        </w:rPr>
        <w:t>peptidoglikán) bioszintézise, ami a baktériumsejt líziséhez és pusztulásához vezet.</w:t>
      </w:r>
    </w:p>
    <w:p w14:paraId="33E9CF7D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2BC9C601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A rezisztencia mechanizmusa</w:t>
      </w:r>
    </w:p>
    <w:p w14:paraId="76BDD4CC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szCs w:val="22"/>
        </w:rPr>
        <w:t>A cefuroximmal szembeni bakteriális rezisztenciáért az alábbi mechanizmusok közül egy vagy több lehet felelős</w:t>
      </w:r>
      <w:r w:rsidRPr="00831917">
        <w:rPr>
          <w:noProof/>
          <w:szCs w:val="22"/>
        </w:rPr>
        <w:t>:</w:t>
      </w:r>
    </w:p>
    <w:p w14:paraId="6B999E67" w14:textId="77777777" w:rsidR="005644C0" w:rsidRPr="00831917" w:rsidRDefault="005644C0" w:rsidP="00831917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noProof/>
          <w:szCs w:val="22"/>
        </w:rPr>
      </w:pPr>
      <w:r w:rsidRPr="00831917">
        <w:rPr>
          <w:szCs w:val="22"/>
        </w:rPr>
        <w:t>béta</w:t>
      </w:r>
      <w:r w:rsidRPr="00831917">
        <w:rPr>
          <w:szCs w:val="22"/>
        </w:rPr>
        <w:noBreakHyphen/>
        <w:t>laktamázok általi hidrolízis, köztük (de nem kizárólagosan)</w:t>
      </w:r>
      <w:r w:rsidRPr="00831917">
        <w:rPr>
          <w:color w:val="008000"/>
          <w:szCs w:val="22"/>
        </w:rPr>
        <w:t xml:space="preserve"> </w:t>
      </w:r>
      <w:r w:rsidRPr="00831917">
        <w:rPr>
          <w:szCs w:val="22"/>
        </w:rPr>
        <w:t>a kiterjesztett spektrumú, bizonyos aerob Gram</w:t>
      </w:r>
      <w:r w:rsidRPr="00831917">
        <w:rPr>
          <w:szCs w:val="22"/>
        </w:rPr>
        <w:noBreakHyphen/>
        <w:t>negatív baktériumfajokban indukálható vagy stabilan derepresszálható béta</w:t>
      </w:r>
      <w:r w:rsidRPr="00831917">
        <w:rPr>
          <w:szCs w:val="22"/>
        </w:rPr>
        <w:noBreakHyphen/>
        <w:t>laktamázokkal (ESBL</w:t>
      </w:r>
      <w:r w:rsidRPr="00831917">
        <w:rPr>
          <w:szCs w:val="22"/>
        </w:rPr>
        <w:noBreakHyphen/>
        <w:t>ekkel) és az AmpC enzimekkel rendelkezők</w:t>
      </w:r>
      <w:r w:rsidRPr="00831917">
        <w:rPr>
          <w:noProof/>
          <w:szCs w:val="22"/>
        </w:rPr>
        <w:t>;</w:t>
      </w:r>
    </w:p>
    <w:p w14:paraId="7F5EBED7" w14:textId="77777777" w:rsidR="005644C0" w:rsidRPr="00831917" w:rsidRDefault="005644C0" w:rsidP="00831917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noProof/>
          <w:szCs w:val="22"/>
        </w:rPr>
      </w:pPr>
      <w:r w:rsidRPr="00831917">
        <w:rPr>
          <w:noProof/>
          <w:szCs w:val="22"/>
        </w:rPr>
        <w:t>a penicillinkötő fehérjék csökkent affinitása a cefuroxim iránt;</w:t>
      </w:r>
    </w:p>
    <w:p w14:paraId="70CC2DD2" w14:textId="77777777" w:rsidR="005644C0" w:rsidRPr="00831917" w:rsidRDefault="005644C0" w:rsidP="00831917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noProof/>
          <w:szCs w:val="22"/>
        </w:rPr>
      </w:pPr>
      <w:r w:rsidRPr="00831917">
        <w:rPr>
          <w:noProof/>
          <w:szCs w:val="22"/>
        </w:rPr>
        <w:t>a külső membrán impermeabilitása, ami korlátozza a cefuroxim hozzáférését a Gram</w:t>
      </w:r>
      <w:r w:rsidRPr="00831917">
        <w:rPr>
          <w:noProof/>
          <w:szCs w:val="22"/>
        </w:rPr>
        <w:noBreakHyphen/>
        <w:t>negatív baktériumokban lévő penicillinkötő fehérjékhez;</w:t>
      </w:r>
    </w:p>
    <w:p w14:paraId="6406CAE5" w14:textId="77777777" w:rsidR="005644C0" w:rsidRPr="00831917" w:rsidRDefault="005644C0" w:rsidP="00831917">
      <w:pPr>
        <w:pStyle w:val="Listaszerbekezds"/>
        <w:numPr>
          <w:ilvl w:val="0"/>
          <w:numId w:val="4"/>
        </w:numPr>
        <w:spacing w:line="240" w:lineRule="auto"/>
        <w:ind w:left="567" w:hanging="567"/>
        <w:rPr>
          <w:noProof/>
          <w:szCs w:val="22"/>
        </w:rPr>
      </w:pPr>
      <w:r w:rsidRPr="00831917">
        <w:rPr>
          <w:noProof/>
          <w:szCs w:val="22"/>
        </w:rPr>
        <w:t>bakteriális efflux pumpák.</w:t>
      </w:r>
    </w:p>
    <w:p w14:paraId="73A2ABE6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42A9884C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Az injekció formájában alkalmazott egyéb cefalosporinokra rezisztens mikroorganizmusok várhatóan rezisztensek a cefuroximra is.</w:t>
      </w:r>
    </w:p>
    <w:p w14:paraId="7CDE9B41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02F7100B" w14:textId="77777777" w:rsidR="005644C0" w:rsidRPr="00831917" w:rsidRDefault="005644C0" w:rsidP="00831917">
      <w:pPr>
        <w:pStyle w:val="NormlWeb"/>
        <w:spacing w:before="0" w:beforeAutospacing="0" w:after="0"/>
        <w:rPr>
          <w:noProof/>
          <w:sz w:val="22"/>
          <w:szCs w:val="22"/>
          <w:lang w:val="hu-HU"/>
        </w:rPr>
      </w:pPr>
      <w:r w:rsidRPr="00831917">
        <w:rPr>
          <w:noProof/>
          <w:sz w:val="22"/>
          <w:szCs w:val="22"/>
          <w:lang w:val="hu-HU"/>
        </w:rPr>
        <w:t>A rezisztencia mechanizmusától függően a penicillinre rezisztens mikroorganizmusok csökkent érzékenységet vagy rezisztenciát mutathatnak a cefuroximra is.</w:t>
      </w:r>
    </w:p>
    <w:p w14:paraId="5B2F1A2F" w14:textId="77777777" w:rsidR="005644C0" w:rsidRPr="00831917" w:rsidRDefault="005644C0" w:rsidP="00831917">
      <w:pPr>
        <w:spacing w:line="240" w:lineRule="auto"/>
        <w:rPr>
          <w:noProof/>
          <w:szCs w:val="22"/>
          <w:u w:val="single"/>
        </w:rPr>
      </w:pPr>
    </w:p>
    <w:p w14:paraId="390C7304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Cefuroxim</w:t>
      </w:r>
      <w:r w:rsidRPr="00831917">
        <w:rPr>
          <w:noProof/>
          <w:szCs w:val="22"/>
          <w:u w:val="single"/>
        </w:rPr>
        <w:noBreakHyphen/>
        <w:t>axetil határértékek</w:t>
      </w:r>
    </w:p>
    <w:p w14:paraId="2DA52730" w14:textId="582E4424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noProof/>
          <w:szCs w:val="22"/>
        </w:rPr>
        <w:t>A minimális gátló koncentráció (MIC) European Committee on Antimicrobial Susceptibility Testing (EUCAST) által meghatározott határértékei a következők</w:t>
      </w:r>
      <w:r w:rsidR="005B2973">
        <w:rPr>
          <w:noProof/>
          <w:szCs w:val="22"/>
        </w:rPr>
        <w:t xml:space="preserve"> (13-as verzió, érvényes 2023. január 1-től)</w:t>
      </w:r>
      <w:r w:rsidRPr="00831917">
        <w:rPr>
          <w:szCs w:val="22"/>
        </w:rPr>
        <w:t>:</w:t>
      </w:r>
    </w:p>
    <w:p w14:paraId="33DD21E6" w14:textId="77777777" w:rsidR="005644C0" w:rsidRPr="00831917" w:rsidRDefault="005644C0" w:rsidP="00831917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8"/>
        <w:gridCol w:w="2577"/>
        <w:gridCol w:w="2575"/>
      </w:tblGrid>
      <w:tr w:rsidR="005644C0" w:rsidRPr="00831917" w14:paraId="023F5B4D" w14:textId="77777777" w:rsidTr="00596EE7">
        <w:trPr>
          <w:trHeight w:val="485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36A4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Mikroorganizmus</w:t>
            </w:r>
          </w:p>
        </w:tc>
        <w:tc>
          <w:tcPr>
            <w:tcW w:w="5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135D" w14:textId="77777777" w:rsidR="00752CE7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 xml:space="preserve">Határérték </w:t>
            </w:r>
          </w:p>
          <w:p w14:paraId="3B568BD6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szCs w:val="22"/>
              </w:rPr>
            </w:pPr>
            <w:r w:rsidRPr="00831917">
              <w:rPr>
                <w:b/>
                <w:szCs w:val="22"/>
              </w:rPr>
              <w:t>(mg/l)</w:t>
            </w:r>
          </w:p>
        </w:tc>
      </w:tr>
      <w:tr w:rsidR="005644C0" w:rsidRPr="00831917" w14:paraId="4A631E70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02"/>
        </w:trPr>
        <w:tc>
          <w:tcPr>
            <w:tcW w:w="4016" w:type="dxa"/>
          </w:tcPr>
          <w:p w14:paraId="539E422F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</w:p>
        </w:tc>
        <w:tc>
          <w:tcPr>
            <w:tcW w:w="2524" w:type="dxa"/>
          </w:tcPr>
          <w:p w14:paraId="795DDB2A" w14:textId="4B650085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É</w:t>
            </w:r>
            <w:r w:rsidR="005B2973" w:rsidRPr="0091288A">
              <w:rPr>
                <w:szCs w:val="22"/>
                <w:lang w:eastAsia="en-US"/>
              </w:rPr>
              <w:sym w:font="Symbol" w:char="F0A3"/>
            </w:r>
          </w:p>
        </w:tc>
        <w:tc>
          <w:tcPr>
            <w:tcW w:w="2520" w:type="dxa"/>
          </w:tcPr>
          <w:p w14:paraId="20ADE627" w14:textId="4279D788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R</w:t>
            </w:r>
            <w:r w:rsidR="005B2973">
              <w:rPr>
                <w:szCs w:val="22"/>
                <w:u w:val="single"/>
                <w:lang w:eastAsia="en-US"/>
              </w:rPr>
              <w:t>&gt;</w:t>
            </w:r>
          </w:p>
        </w:tc>
      </w:tr>
      <w:tr w:rsidR="005644C0" w:rsidRPr="00831917" w14:paraId="61E37905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4016" w:type="dxa"/>
          </w:tcPr>
          <w:p w14:paraId="57939856" w14:textId="66387115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596EE7">
              <w:rPr>
                <w:i/>
                <w:noProof/>
                <w:szCs w:val="22"/>
              </w:rPr>
              <w:t>Enterobacter</w:t>
            </w:r>
            <w:r w:rsidR="005B2973" w:rsidRPr="00596EE7">
              <w:rPr>
                <w:i/>
                <w:noProof/>
                <w:szCs w:val="22"/>
              </w:rPr>
              <w:t>ales</w:t>
            </w:r>
            <w:r w:rsidRPr="00831917">
              <w:rPr>
                <w:noProof/>
                <w:szCs w:val="22"/>
                <w:vertAlign w:val="superscript"/>
              </w:rPr>
              <w:t>1, 2</w:t>
            </w:r>
          </w:p>
        </w:tc>
        <w:tc>
          <w:tcPr>
            <w:tcW w:w="2524" w:type="dxa"/>
          </w:tcPr>
          <w:p w14:paraId="5447F96D" w14:textId="12150941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8</w:t>
            </w:r>
          </w:p>
        </w:tc>
        <w:tc>
          <w:tcPr>
            <w:tcW w:w="2520" w:type="dxa"/>
          </w:tcPr>
          <w:p w14:paraId="6838B0CC" w14:textId="4C10AEF8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 8</w:t>
            </w:r>
          </w:p>
        </w:tc>
      </w:tr>
      <w:tr w:rsidR="005644C0" w:rsidRPr="00831917" w14:paraId="509A7020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4016" w:type="dxa"/>
          </w:tcPr>
          <w:p w14:paraId="6EA698C5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596EE7">
              <w:rPr>
                <w:i/>
                <w:iCs/>
                <w:noProof/>
                <w:szCs w:val="22"/>
              </w:rPr>
              <w:t>Staphylococcus</w:t>
            </w:r>
            <w:r w:rsidRPr="00831917">
              <w:rPr>
                <w:noProof/>
                <w:szCs w:val="22"/>
              </w:rPr>
              <w:t xml:space="preserve"> spp</w:t>
            </w:r>
            <w:r w:rsidR="00752CE7" w:rsidRPr="00831917">
              <w:rPr>
                <w:noProof/>
                <w:szCs w:val="22"/>
              </w:rPr>
              <w:t>.</w:t>
            </w:r>
          </w:p>
        </w:tc>
        <w:tc>
          <w:tcPr>
            <w:tcW w:w="2524" w:type="dxa"/>
          </w:tcPr>
          <w:p w14:paraId="083FA33F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Megjegyzés</w:t>
            </w:r>
            <w:r w:rsidRPr="00831917">
              <w:rPr>
                <w:noProof/>
                <w:szCs w:val="22"/>
                <w:vertAlign w:val="superscript"/>
              </w:rPr>
              <w:t>3</w:t>
            </w:r>
          </w:p>
        </w:tc>
        <w:tc>
          <w:tcPr>
            <w:tcW w:w="2520" w:type="dxa"/>
          </w:tcPr>
          <w:p w14:paraId="0C666E19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Megjegyzés</w:t>
            </w:r>
            <w:r w:rsidRPr="00831917">
              <w:rPr>
                <w:noProof/>
                <w:szCs w:val="22"/>
                <w:vertAlign w:val="superscript"/>
              </w:rPr>
              <w:t>3</w:t>
            </w:r>
          </w:p>
        </w:tc>
      </w:tr>
      <w:tr w:rsidR="005644C0" w:rsidRPr="00831917" w14:paraId="6D4A2CC9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4016" w:type="dxa"/>
          </w:tcPr>
          <w:p w14:paraId="4FCC5A8F" w14:textId="65D56CC0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596EE7">
              <w:rPr>
                <w:i/>
                <w:iCs/>
                <w:noProof/>
                <w:szCs w:val="22"/>
              </w:rPr>
              <w:t>Streptococcus</w:t>
            </w:r>
            <w:r w:rsidRPr="00831917">
              <w:rPr>
                <w:i/>
                <w:iCs/>
                <w:noProof/>
                <w:szCs w:val="22"/>
              </w:rPr>
              <w:t xml:space="preserve"> </w:t>
            </w:r>
            <w:r w:rsidRPr="00831917">
              <w:rPr>
                <w:noProof/>
                <w:szCs w:val="22"/>
              </w:rPr>
              <w:t>A,</w:t>
            </w:r>
            <w:r w:rsidR="005B4D87">
              <w:rPr>
                <w:noProof/>
                <w:szCs w:val="22"/>
              </w:rPr>
              <w:t xml:space="preserve"> </w:t>
            </w:r>
            <w:r w:rsidRPr="00831917">
              <w:rPr>
                <w:noProof/>
                <w:szCs w:val="22"/>
              </w:rPr>
              <w:t>B,</w:t>
            </w:r>
            <w:r w:rsidR="005B4D87">
              <w:rPr>
                <w:noProof/>
                <w:szCs w:val="22"/>
              </w:rPr>
              <w:t xml:space="preserve"> </w:t>
            </w:r>
            <w:r w:rsidRPr="00831917">
              <w:rPr>
                <w:noProof/>
                <w:szCs w:val="22"/>
              </w:rPr>
              <w:t>C és G</w:t>
            </w:r>
            <w:r w:rsidR="00752CE7" w:rsidRPr="00831917">
              <w:rPr>
                <w:noProof/>
                <w:szCs w:val="22"/>
              </w:rPr>
              <w:t xml:space="preserve"> csoport</w:t>
            </w:r>
          </w:p>
        </w:tc>
        <w:tc>
          <w:tcPr>
            <w:tcW w:w="2524" w:type="dxa"/>
          </w:tcPr>
          <w:p w14:paraId="6DBAFF1B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Megjegyzés</w:t>
            </w:r>
            <w:r w:rsidRPr="00831917">
              <w:rPr>
                <w:noProof/>
                <w:szCs w:val="22"/>
                <w:vertAlign w:val="superscript"/>
              </w:rPr>
              <w:t>4</w:t>
            </w:r>
          </w:p>
        </w:tc>
        <w:tc>
          <w:tcPr>
            <w:tcW w:w="2520" w:type="dxa"/>
          </w:tcPr>
          <w:p w14:paraId="39D9A2E0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Megjegyzés</w:t>
            </w:r>
            <w:r w:rsidRPr="00831917">
              <w:rPr>
                <w:noProof/>
                <w:szCs w:val="22"/>
                <w:vertAlign w:val="superscript"/>
              </w:rPr>
              <w:t>4</w:t>
            </w:r>
          </w:p>
        </w:tc>
      </w:tr>
      <w:tr w:rsidR="005644C0" w:rsidRPr="00831917" w14:paraId="355DAF4F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4016" w:type="dxa"/>
          </w:tcPr>
          <w:p w14:paraId="51A50AD0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i/>
                <w:iCs/>
                <w:noProof/>
                <w:szCs w:val="22"/>
              </w:rPr>
            </w:pPr>
            <w:r w:rsidRPr="00831917">
              <w:rPr>
                <w:i/>
                <w:iCs/>
                <w:noProof/>
                <w:szCs w:val="22"/>
              </w:rPr>
              <w:t>Streptococcus pneumoniae</w:t>
            </w:r>
          </w:p>
        </w:tc>
        <w:tc>
          <w:tcPr>
            <w:tcW w:w="2524" w:type="dxa"/>
          </w:tcPr>
          <w:p w14:paraId="439CA7B4" w14:textId="476A3452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0,25</w:t>
            </w:r>
          </w:p>
        </w:tc>
        <w:tc>
          <w:tcPr>
            <w:tcW w:w="2520" w:type="dxa"/>
          </w:tcPr>
          <w:p w14:paraId="6BDA6B92" w14:textId="5065FEC9" w:rsidR="005644C0" w:rsidRPr="00831917" w:rsidRDefault="000546A1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0,25</w:t>
            </w:r>
          </w:p>
        </w:tc>
      </w:tr>
      <w:tr w:rsidR="005644C0" w:rsidRPr="00831917" w14:paraId="3F686A83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4016" w:type="dxa"/>
          </w:tcPr>
          <w:p w14:paraId="22D23D12" w14:textId="77777777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i/>
                <w:iCs/>
                <w:noProof/>
                <w:szCs w:val="22"/>
              </w:rPr>
              <w:t>Haemophilus influenzae</w:t>
            </w:r>
          </w:p>
        </w:tc>
        <w:tc>
          <w:tcPr>
            <w:tcW w:w="2524" w:type="dxa"/>
          </w:tcPr>
          <w:p w14:paraId="767D8E0A" w14:textId="4B3C982F" w:rsidR="005644C0" w:rsidRPr="00831917" w:rsidRDefault="000546A1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0,001</w:t>
            </w:r>
          </w:p>
        </w:tc>
        <w:tc>
          <w:tcPr>
            <w:tcW w:w="2520" w:type="dxa"/>
          </w:tcPr>
          <w:p w14:paraId="49BEFFCE" w14:textId="6EA731E4" w:rsidR="005644C0" w:rsidRPr="00831917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</w:rPr>
              <w:t>1</w:t>
            </w:r>
          </w:p>
        </w:tc>
      </w:tr>
      <w:tr w:rsidR="005644C0" w:rsidRPr="00831917" w14:paraId="05F05500" w14:textId="77777777" w:rsidTr="00596E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c>
          <w:tcPr>
            <w:tcW w:w="4016" w:type="dxa"/>
          </w:tcPr>
          <w:p w14:paraId="23CAF3EA" w14:textId="58FCD422" w:rsidR="005644C0" w:rsidRPr="00596EE7" w:rsidRDefault="000546A1" w:rsidP="00831917">
            <w:pPr>
              <w:tabs>
                <w:tab w:val="left" w:pos="0"/>
              </w:tabs>
              <w:spacing w:line="240" w:lineRule="auto"/>
              <w:rPr>
                <w:i/>
                <w:iCs/>
                <w:noProof/>
                <w:szCs w:val="22"/>
              </w:rPr>
            </w:pPr>
            <w:r w:rsidRPr="00596EE7">
              <w:rPr>
                <w:i/>
                <w:iCs/>
                <w:noProof/>
                <w:szCs w:val="22"/>
              </w:rPr>
              <w:t>Moraxella catarrhalis</w:t>
            </w:r>
          </w:p>
        </w:tc>
        <w:tc>
          <w:tcPr>
            <w:tcW w:w="2524" w:type="dxa"/>
          </w:tcPr>
          <w:p w14:paraId="3BFC270F" w14:textId="521D72D6" w:rsidR="005644C0" w:rsidRPr="00831917" w:rsidRDefault="0009759C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0,001</w:t>
            </w:r>
          </w:p>
        </w:tc>
        <w:tc>
          <w:tcPr>
            <w:tcW w:w="2520" w:type="dxa"/>
          </w:tcPr>
          <w:p w14:paraId="53733620" w14:textId="6B2BB4F4" w:rsidR="005644C0" w:rsidRPr="00831917" w:rsidRDefault="0009759C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>4</w:t>
            </w:r>
          </w:p>
        </w:tc>
      </w:tr>
      <w:tr w:rsidR="005644C0" w:rsidRPr="00831917" w14:paraId="5C314336" w14:textId="77777777" w:rsidTr="00506EAF">
        <w:trPr>
          <w:trHeight w:val="519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061D" w14:textId="201D146E" w:rsidR="001C6667" w:rsidRPr="00831917" w:rsidRDefault="005644C0" w:rsidP="00831917">
            <w:pPr>
              <w:pStyle w:val="Default"/>
              <w:rPr>
                <w:sz w:val="22"/>
                <w:szCs w:val="22"/>
                <w:lang w:val="hu-HU"/>
              </w:rPr>
            </w:pPr>
            <w:r w:rsidRPr="00831917">
              <w:rPr>
                <w:b/>
                <w:bCs/>
                <w:sz w:val="22"/>
                <w:szCs w:val="22"/>
                <w:vertAlign w:val="superscript"/>
                <w:lang w:val="hu-HU"/>
              </w:rPr>
              <w:t>1</w:t>
            </w:r>
            <w:r w:rsidRPr="00831917">
              <w:rPr>
                <w:sz w:val="22"/>
                <w:szCs w:val="22"/>
                <w:lang w:val="hu-HU"/>
              </w:rPr>
              <w:t xml:space="preserve">Az </w:t>
            </w:r>
            <w:r w:rsidRPr="00596EE7">
              <w:rPr>
                <w:i/>
                <w:sz w:val="22"/>
                <w:szCs w:val="22"/>
                <w:lang w:val="hu-HU"/>
              </w:rPr>
              <w:t>Enterobacter</w:t>
            </w:r>
            <w:r w:rsidR="0009759C" w:rsidRPr="00596EE7">
              <w:rPr>
                <w:i/>
                <w:sz w:val="22"/>
                <w:szCs w:val="22"/>
                <w:lang w:val="hu-HU"/>
              </w:rPr>
              <w:t>ales</w:t>
            </w:r>
            <w:r w:rsidRPr="00831917">
              <w:rPr>
                <w:sz w:val="22"/>
                <w:szCs w:val="22"/>
                <w:lang w:val="hu-HU"/>
              </w:rPr>
              <w:t xml:space="preserve"> fajokra jellemző cefalosporin határértékek az összes klinikailag fontos rezisztencia mechanizmust (köztük az ESBL</w:t>
            </w:r>
            <w:r w:rsidRPr="00831917">
              <w:rPr>
                <w:sz w:val="22"/>
                <w:szCs w:val="22"/>
                <w:lang w:val="hu-HU"/>
              </w:rPr>
              <w:noBreakHyphen/>
              <w:t>t és a plazmid</w:t>
            </w:r>
            <w:r w:rsidRPr="00831917">
              <w:rPr>
                <w:sz w:val="22"/>
                <w:szCs w:val="22"/>
                <w:lang w:val="hu-HU"/>
              </w:rPr>
              <w:noBreakHyphen/>
              <w:t>mediált AmpC</w:t>
            </w:r>
            <w:r w:rsidRPr="00831917">
              <w:rPr>
                <w:sz w:val="22"/>
                <w:szCs w:val="22"/>
                <w:lang w:val="hu-HU"/>
              </w:rPr>
              <w:noBreakHyphen/>
              <w:t>t</w:t>
            </w:r>
            <w:r w:rsidRPr="00D072D0">
              <w:rPr>
                <w:sz w:val="22"/>
                <w:szCs w:val="22"/>
                <w:lang w:val="hu-HU"/>
              </w:rPr>
              <w:t>) mutatják</w:t>
            </w:r>
            <w:r w:rsidRPr="00831917">
              <w:rPr>
                <w:sz w:val="22"/>
                <w:szCs w:val="22"/>
                <w:lang w:val="hu-HU"/>
              </w:rPr>
              <w:t>. Egyes béta</w:t>
            </w:r>
            <w:r w:rsidRPr="00831917">
              <w:rPr>
                <w:sz w:val="22"/>
                <w:szCs w:val="22"/>
                <w:lang w:val="hu-HU"/>
              </w:rPr>
              <w:noBreakHyphen/>
              <w:t xml:space="preserve">laktamázt termelő </w:t>
            </w:r>
            <w:r w:rsidR="0009759C">
              <w:rPr>
                <w:sz w:val="22"/>
                <w:szCs w:val="22"/>
                <w:lang w:val="hu-HU"/>
              </w:rPr>
              <w:t>izolátumok</w:t>
            </w:r>
            <w:r w:rsidR="0009759C" w:rsidRPr="00831917">
              <w:rPr>
                <w:sz w:val="22"/>
                <w:szCs w:val="22"/>
                <w:lang w:val="hu-HU"/>
              </w:rPr>
              <w:t xml:space="preserve"> </w:t>
            </w:r>
            <w:r w:rsidRPr="00B84A8B">
              <w:rPr>
                <w:sz w:val="22"/>
                <w:szCs w:val="22"/>
                <w:lang w:val="hu-HU"/>
              </w:rPr>
              <w:t xml:space="preserve">érzékenyek </w:t>
            </w:r>
            <w:r w:rsidR="00265A48" w:rsidRPr="00B84A8B">
              <w:rPr>
                <w:sz w:val="22"/>
                <w:szCs w:val="22"/>
                <w:lang w:val="hu-HU"/>
              </w:rPr>
              <w:t xml:space="preserve">a fenti </w:t>
            </w:r>
            <w:r w:rsidRPr="00B84A8B">
              <w:rPr>
                <w:sz w:val="22"/>
                <w:szCs w:val="22"/>
                <w:lang w:val="hu-HU"/>
              </w:rPr>
              <w:t>határérték</w:t>
            </w:r>
            <w:r w:rsidR="00265A48" w:rsidRPr="00B84A8B">
              <w:rPr>
                <w:sz w:val="22"/>
                <w:szCs w:val="22"/>
                <w:lang w:val="hu-HU"/>
              </w:rPr>
              <w:t xml:space="preserve">ekkel a </w:t>
            </w:r>
            <w:r w:rsidRPr="00B84A8B">
              <w:rPr>
                <w:sz w:val="22"/>
                <w:szCs w:val="22"/>
                <w:lang w:val="hu-HU"/>
              </w:rPr>
              <w:t xml:space="preserve">3. és 4. generációs cefalosporinok iránt, </w:t>
            </w:r>
            <w:r w:rsidR="00265A48" w:rsidRPr="00B84A8B">
              <w:rPr>
                <w:sz w:val="22"/>
                <w:szCs w:val="22"/>
                <w:lang w:val="hu-HU"/>
              </w:rPr>
              <w:t>azaz ezek</w:t>
            </w:r>
            <w:r w:rsidR="00B56CB4">
              <w:rPr>
                <w:sz w:val="22"/>
                <w:szCs w:val="22"/>
                <w:lang w:val="hu-HU"/>
              </w:rPr>
              <w:t>nél az érzékenységi vizsgálat eredményét</w:t>
            </w:r>
            <w:r w:rsidRPr="00B84A8B">
              <w:rPr>
                <w:sz w:val="22"/>
                <w:szCs w:val="22"/>
                <w:lang w:val="hu-HU"/>
              </w:rPr>
              <w:t xml:space="preserve"> kell jelenteni</w:t>
            </w:r>
            <w:r w:rsidR="00E15DB7" w:rsidRPr="00B84A8B">
              <w:rPr>
                <w:sz w:val="22"/>
                <w:szCs w:val="22"/>
                <w:lang w:val="hu-HU"/>
              </w:rPr>
              <w:t xml:space="preserve">, </w:t>
            </w:r>
            <w:r w:rsidRPr="00B84A8B">
              <w:rPr>
                <w:sz w:val="22"/>
                <w:szCs w:val="22"/>
                <w:lang w:val="hu-HU"/>
              </w:rPr>
              <w:t xml:space="preserve">vagyis valamely ESBL jelenléte vagy hiánya önmagában nem befolyásolja az érzékenység kategorizálását. </w:t>
            </w:r>
            <w:r w:rsidR="0009759C">
              <w:rPr>
                <w:sz w:val="22"/>
                <w:szCs w:val="22"/>
                <w:lang w:val="hu-HU"/>
              </w:rPr>
              <w:t>Közegészségügyi</w:t>
            </w:r>
            <w:r w:rsidR="00B56CB4">
              <w:rPr>
                <w:sz w:val="22"/>
                <w:szCs w:val="22"/>
                <w:lang w:val="hu-HU"/>
              </w:rPr>
              <w:t xml:space="preserve"> szempontból</w:t>
            </w:r>
            <w:r w:rsidR="0009759C">
              <w:rPr>
                <w:sz w:val="22"/>
                <w:szCs w:val="22"/>
                <w:lang w:val="hu-HU"/>
              </w:rPr>
              <w:t xml:space="preserve"> és a</w:t>
            </w:r>
            <w:r w:rsidR="00E15DB7" w:rsidRPr="00B84A8B">
              <w:rPr>
                <w:sz w:val="22"/>
                <w:szCs w:val="22"/>
                <w:lang w:val="hu-HU"/>
              </w:rPr>
              <w:t>z infekció</w:t>
            </w:r>
            <w:r w:rsidRPr="00B84A8B">
              <w:rPr>
                <w:sz w:val="22"/>
                <w:szCs w:val="22"/>
                <w:lang w:val="hu-HU"/>
              </w:rPr>
              <w:t>kontrol</w:t>
            </w:r>
            <w:r w:rsidR="00151AE2">
              <w:rPr>
                <w:sz w:val="22"/>
                <w:szCs w:val="22"/>
                <w:lang w:val="hu-HU"/>
              </w:rPr>
              <w:t>l</w:t>
            </w:r>
            <w:r w:rsidRPr="00B84A8B">
              <w:rPr>
                <w:sz w:val="22"/>
                <w:szCs w:val="22"/>
                <w:lang w:val="hu-HU"/>
              </w:rPr>
              <w:t xml:space="preserve"> céljából az ESBL </w:t>
            </w:r>
            <w:r w:rsidR="00495621" w:rsidRPr="00B84A8B">
              <w:rPr>
                <w:sz w:val="22"/>
                <w:szCs w:val="22"/>
                <w:lang w:val="hu-HU"/>
              </w:rPr>
              <w:t xml:space="preserve">kimutatása </w:t>
            </w:r>
            <w:r w:rsidRPr="00B84A8B">
              <w:rPr>
                <w:sz w:val="22"/>
                <w:szCs w:val="22"/>
                <w:lang w:val="hu-HU"/>
              </w:rPr>
              <w:t xml:space="preserve">és </w:t>
            </w:r>
            <w:r w:rsidR="00B56CB4">
              <w:rPr>
                <w:sz w:val="22"/>
                <w:szCs w:val="22"/>
                <w:lang w:val="hu-HU"/>
              </w:rPr>
              <w:t>jellemzése</w:t>
            </w:r>
            <w:r w:rsidR="00B56CB4" w:rsidRPr="00B84A8B">
              <w:rPr>
                <w:sz w:val="22"/>
                <w:szCs w:val="22"/>
                <w:lang w:val="hu-HU"/>
              </w:rPr>
              <w:t xml:space="preserve"> </w:t>
            </w:r>
            <w:r w:rsidRPr="00B84A8B">
              <w:rPr>
                <w:sz w:val="22"/>
                <w:szCs w:val="22"/>
                <w:lang w:val="hu-HU"/>
              </w:rPr>
              <w:t>ajánlott.</w:t>
            </w:r>
          </w:p>
          <w:p w14:paraId="57B2C0DB" w14:textId="77777777" w:rsidR="0009759C" w:rsidRPr="00831917" w:rsidRDefault="005644C0" w:rsidP="0009759C">
            <w:pPr>
              <w:autoSpaceDE w:val="0"/>
              <w:autoSpaceDN w:val="0"/>
              <w:adjustRightInd w:val="0"/>
              <w:rPr>
                <w:noProof/>
                <w:szCs w:val="22"/>
              </w:rPr>
            </w:pPr>
            <w:r w:rsidRPr="00831917">
              <w:rPr>
                <w:noProof/>
                <w:szCs w:val="22"/>
                <w:vertAlign w:val="superscript"/>
              </w:rPr>
              <w:t>2</w:t>
            </w:r>
            <w:r w:rsidR="002370A7">
              <w:rPr>
                <w:noProof/>
                <w:szCs w:val="22"/>
                <w:vertAlign w:val="superscript"/>
              </w:rPr>
              <w:t xml:space="preserve"> </w:t>
            </w:r>
            <w:r w:rsidR="002370A7" w:rsidRPr="00CF6B6C">
              <w:rPr>
                <w:noProof/>
                <w:szCs w:val="22"/>
              </w:rPr>
              <w:t xml:space="preserve">Csak </w:t>
            </w:r>
            <w:r w:rsidR="007D5963">
              <w:rPr>
                <w:noProof/>
                <w:szCs w:val="22"/>
              </w:rPr>
              <w:t>s</w:t>
            </w:r>
            <w:r w:rsidRPr="00831917">
              <w:rPr>
                <w:noProof/>
                <w:szCs w:val="22"/>
              </w:rPr>
              <w:t>zöv</w:t>
            </w:r>
            <w:r w:rsidR="002370A7">
              <w:rPr>
                <w:noProof/>
                <w:szCs w:val="22"/>
              </w:rPr>
              <w:t>ő</w:t>
            </w:r>
            <w:r w:rsidRPr="00831917">
              <w:rPr>
                <w:noProof/>
                <w:szCs w:val="22"/>
              </w:rPr>
              <w:t>dménymentes húgyúti fertőzés</w:t>
            </w:r>
            <w:r w:rsidR="0009759C">
              <w:rPr>
                <w:noProof/>
                <w:szCs w:val="22"/>
              </w:rPr>
              <w:t xml:space="preserve">, </w:t>
            </w:r>
            <w:r w:rsidR="0009759C" w:rsidRPr="00EB5196">
              <w:rPr>
                <w:i/>
                <w:iCs/>
                <w:color w:val="000000"/>
                <w:szCs w:val="22"/>
              </w:rPr>
              <w:t>E. coli</w:t>
            </w:r>
            <w:r w:rsidR="0009759C" w:rsidRPr="00EB5196">
              <w:rPr>
                <w:color w:val="000000"/>
                <w:szCs w:val="22"/>
              </w:rPr>
              <w:t xml:space="preserve">, </w:t>
            </w:r>
            <w:r w:rsidR="0009759C" w:rsidRPr="00EB5196">
              <w:rPr>
                <w:i/>
                <w:iCs/>
                <w:color w:val="000000"/>
                <w:szCs w:val="22"/>
              </w:rPr>
              <w:t>Klebsiella</w:t>
            </w:r>
            <w:r w:rsidR="0009759C" w:rsidRPr="00EB5196">
              <w:rPr>
                <w:color w:val="000000"/>
                <w:szCs w:val="22"/>
              </w:rPr>
              <w:t xml:space="preserve"> spp. (</w:t>
            </w:r>
            <w:r w:rsidR="0009759C">
              <w:rPr>
                <w:color w:val="000000"/>
                <w:szCs w:val="22"/>
              </w:rPr>
              <w:t xml:space="preserve">kivétel </w:t>
            </w:r>
            <w:r w:rsidR="0009759C" w:rsidRPr="00EB5196">
              <w:rPr>
                <w:i/>
                <w:iCs/>
                <w:color w:val="000000"/>
                <w:szCs w:val="22"/>
              </w:rPr>
              <w:t>K. aerogenes</w:t>
            </w:r>
            <w:r w:rsidR="0009759C" w:rsidRPr="00EB5196">
              <w:rPr>
                <w:color w:val="000000"/>
                <w:szCs w:val="22"/>
              </w:rPr>
              <w:t>),</w:t>
            </w:r>
            <w:r w:rsidR="0009759C">
              <w:rPr>
                <w:color w:val="000000"/>
                <w:szCs w:val="22"/>
              </w:rPr>
              <w:t xml:space="preserve"> </w:t>
            </w:r>
            <w:r w:rsidR="0009759C" w:rsidRPr="00EB5196">
              <w:rPr>
                <w:i/>
                <w:iCs/>
                <w:color w:val="000000"/>
                <w:szCs w:val="22"/>
              </w:rPr>
              <w:t>Raoultella</w:t>
            </w:r>
            <w:r w:rsidR="0009759C" w:rsidRPr="00EB5196">
              <w:rPr>
                <w:color w:val="000000"/>
                <w:szCs w:val="22"/>
              </w:rPr>
              <w:t xml:space="preserve"> spp. </w:t>
            </w:r>
            <w:r w:rsidR="0009759C">
              <w:rPr>
                <w:color w:val="000000"/>
                <w:szCs w:val="22"/>
              </w:rPr>
              <w:t xml:space="preserve">és </w:t>
            </w:r>
            <w:r w:rsidR="0009759C" w:rsidRPr="00EB5196">
              <w:rPr>
                <w:i/>
                <w:iCs/>
                <w:color w:val="000000"/>
                <w:szCs w:val="22"/>
              </w:rPr>
              <w:t>P. mirabilis</w:t>
            </w:r>
            <w:r w:rsidR="0009759C" w:rsidRPr="0091288A">
              <w:rPr>
                <w:color w:val="000000"/>
                <w:szCs w:val="22"/>
              </w:rPr>
              <w:t>.</w:t>
            </w:r>
          </w:p>
          <w:p w14:paraId="5B69D472" w14:textId="548D4FB2" w:rsidR="005644C0" w:rsidRDefault="005644C0" w:rsidP="00831917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  <w:vertAlign w:val="superscript"/>
              </w:rPr>
              <w:lastRenderedPageBreak/>
              <w:t>3</w:t>
            </w:r>
            <w:r w:rsidRPr="00831917">
              <w:rPr>
                <w:noProof/>
                <w:szCs w:val="22"/>
              </w:rPr>
              <w:t xml:space="preserve">A </w:t>
            </w:r>
            <w:r w:rsidR="00C447D7" w:rsidRPr="00596EE7">
              <w:rPr>
                <w:i/>
                <w:noProof/>
                <w:szCs w:val="22"/>
              </w:rPr>
              <w:t>S</w:t>
            </w:r>
            <w:r w:rsidRPr="00596EE7">
              <w:rPr>
                <w:i/>
                <w:noProof/>
                <w:szCs w:val="22"/>
              </w:rPr>
              <w:t>taphylococcus</w:t>
            </w:r>
            <w:r w:rsidRPr="00831917">
              <w:rPr>
                <w:noProof/>
                <w:szCs w:val="22"/>
              </w:rPr>
              <w:t xml:space="preserve">ok cefalosporinok iránti érzékenységét a </w:t>
            </w:r>
            <w:r w:rsidR="0009759C">
              <w:rPr>
                <w:noProof/>
                <w:szCs w:val="22"/>
              </w:rPr>
              <w:t>cefoxitin</w:t>
            </w:r>
            <w:r w:rsidRPr="00831917">
              <w:rPr>
                <w:noProof/>
                <w:szCs w:val="22"/>
              </w:rPr>
              <w:noBreakHyphen/>
            </w:r>
            <w:r w:rsidR="00B56CB4">
              <w:rPr>
                <w:noProof/>
                <w:szCs w:val="22"/>
              </w:rPr>
              <w:t>érzékenységből lehet következtetni</w:t>
            </w:r>
            <w:r w:rsidRPr="00831917">
              <w:rPr>
                <w:noProof/>
                <w:szCs w:val="22"/>
              </w:rPr>
              <w:t>, a cefixim</w:t>
            </w:r>
            <w:r w:rsidR="0009759C">
              <w:rPr>
                <w:noProof/>
                <w:szCs w:val="22"/>
              </w:rPr>
              <w:t>, ceftazidim, ceftazidim-avibaktám,</w:t>
            </w:r>
            <w:r w:rsidRPr="00831917">
              <w:rPr>
                <w:noProof/>
                <w:szCs w:val="22"/>
              </w:rPr>
              <w:t xml:space="preserve"> ceftibutén </w:t>
            </w:r>
            <w:r w:rsidR="0009759C">
              <w:rPr>
                <w:noProof/>
                <w:szCs w:val="22"/>
              </w:rPr>
              <w:t>és ceftazolán</w:t>
            </w:r>
            <w:r w:rsidR="00B56CB4">
              <w:rPr>
                <w:noProof/>
                <w:szCs w:val="22"/>
              </w:rPr>
              <w:t>/</w:t>
            </w:r>
            <w:r w:rsidR="0009759C">
              <w:rPr>
                <w:noProof/>
                <w:szCs w:val="22"/>
              </w:rPr>
              <w:t xml:space="preserve">tazobaktám </w:t>
            </w:r>
            <w:r w:rsidRPr="00831917">
              <w:rPr>
                <w:noProof/>
                <w:szCs w:val="22"/>
              </w:rPr>
              <w:t xml:space="preserve">kivételével, amelyeknek nincs határértékük, és nem használhatók </w:t>
            </w:r>
            <w:r w:rsidR="00C447D7" w:rsidRPr="00596EE7">
              <w:rPr>
                <w:i/>
                <w:noProof/>
                <w:szCs w:val="22"/>
              </w:rPr>
              <w:t>S</w:t>
            </w:r>
            <w:r w:rsidRPr="00596EE7">
              <w:rPr>
                <w:i/>
                <w:noProof/>
                <w:szCs w:val="22"/>
              </w:rPr>
              <w:t>taphylococcus</w:t>
            </w:r>
            <w:r w:rsidR="00B56CB4">
              <w:rPr>
                <w:noProof/>
                <w:szCs w:val="22"/>
              </w:rPr>
              <w:t>-</w:t>
            </w:r>
            <w:r w:rsidRPr="00831917">
              <w:rPr>
                <w:noProof/>
                <w:szCs w:val="22"/>
              </w:rPr>
              <w:t>fertőzésekben.</w:t>
            </w:r>
          </w:p>
          <w:p w14:paraId="327EAB20" w14:textId="1331045B" w:rsidR="0009759C" w:rsidRPr="00831917" w:rsidRDefault="0009759C" w:rsidP="0009759C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>
              <w:rPr>
                <w:noProof/>
                <w:szCs w:val="22"/>
              </w:rPr>
              <w:t xml:space="preserve">Szájon át adott szerek esetében ügyelni kell arra, hogy a fertőzés helyén megfelelő expozíciót érjenek el. </w:t>
            </w:r>
            <w:r w:rsidR="00B56CB4">
              <w:rPr>
                <w:noProof/>
                <w:szCs w:val="22"/>
              </w:rPr>
              <w:t>M</w:t>
            </w:r>
            <w:r>
              <w:rPr>
                <w:noProof/>
                <w:szCs w:val="22"/>
              </w:rPr>
              <w:t>eticillin</w:t>
            </w:r>
            <w:r w:rsidR="00B56CB4">
              <w:rPr>
                <w:noProof/>
                <w:szCs w:val="22"/>
              </w:rPr>
              <w:t>-</w:t>
            </w:r>
            <w:r>
              <w:rPr>
                <w:noProof/>
                <w:szCs w:val="22"/>
              </w:rPr>
              <w:t xml:space="preserve">érzékeny </w:t>
            </w:r>
            <w:r w:rsidR="00B56CB4" w:rsidRPr="00596EE7">
              <w:rPr>
                <w:i/>
                <w:noProof/>
                <w:szCs w:val="22"/>
              </w:rPr>
              <w:t>S</w:t>
            </w:r>
            <w:r w:rsidRPr="00596EE7">
              <w:rPr>
                <w:i/>
                <w:noProof/>
                <w:szCs w:val="22"/>
              </w:rPr>
              <w:t>taphylococcus</w:t>
            </w:r>
            <w:r>
              <w:rPr>
                <w:noProof/>
                <w:szCs w:val="22"/>
              </w:rPr>
              <w:t xml:space="preserve">ok </w:t>
            </w:r>
            <w:r w:rsidR="00B56CB4">
              <w:rPr>
                <w:noProof/>
                <w:szCs w:val="22"/>
              </w:rPr>
              <w:t xml:space="preserve">cefotaxim- és ceftriaxon-érzékenységét </w:t>
            </w:r>
            <w:r>
              <w:rPr>
                <w:noProof/>
                <w:szCs w:val="22"/>
              </w:rPr>
              <w:t xml:space="preserve">„Érzékeny, fokozott expozició” (I) formájában </w:t>
            </w:r>
            <w:r w:rsidR="00B56CB4">
              <w:rPr>
                <w:noProof/>
                <w:szCs w:val="22"/>
              </w:rPr>
              <w:t xml:space="preserve">kell </w:t>
            </w:r>
            <w:r>
              <w:rPr>
                <w:noProof/>
                <w:szCs w:val="22"/>
              </w:rPr>
              <w:t xml:space="preserve">jelenteni. Néhány meticillin-rezisztens </w:t>
            </w:r>
            <w:r w:rsidRPr="00596EE7">
              <w:rPr>
                <w:i/>
                <w:noProof/>
                <w:szCs w:val="22"/>
              </w:rPr>
              <w:t>S. aureus</w:t>
            </w:r>
            <w:r>
              <w:rPr>
                <w:noProof/>
                <w:szCs w:val="22"/>
              </w:rPr>
              <w:t xml:space="preserve"> érzékeny a ceftarolinra és a ceftobiprolra.</w:t>
            </w:r>
          </w:p>
          <w:p w14:paraId="7BF7602B" w14:textId="5B85D73D" w:rsidR="005644C0" w:rsidRPr="00831917" w:rsidRDefault="005644C0" w:rsidP="0009759C">
            <w:pPr>
              <w:tabs>
                <w:tab w:val="left" w:pos="0"/>
              </w:tabs>
              <w:spacing w:line="240" w:lineRule="auto"/>
              <w:rPr>
                <w:noProof/>
                <w:szCs w:val="22"/>
              </w:rPr>
            </w:pPr>
            <w:r w:rsidRPr="00831917">
              <w:rPr>
                <w:noProof/>
                <w:szCs w:val="22"/>
                <w:vertAlign w:val="superscript"/>
              </w:rPr>
              <w:t>4</w:t>
            </w:r>
            <w:r w:rsidRPr="00831917">
              <w:rPr>
                <w:noProof/>
                <w:szCs w:val="22"/>
              </w:rPr>
              <w:t>A</w:t>
            </w:r>
            <w:r w:rsidR="00B56CB4">
              <w:rPr>
                <w:noProof/>
                <w:szCs w:val="22"/>
              </w:rPr>
              <w:t xml:space="preserve"> </w:t>
            </w:r>
            <w:r w:rsidR="00B56CB4" w:rsidRPr="00596EE7">
              <w:rPr>
                <w:i/>
                <w:noProof/>
                <w:szCs w:val="22"/>
              </w:rPr>
              <w:t>Streptococcus</w:t>
            </w:r>
            <w:r w:rsidR="0009759C">
              <w:rPr>
                <w:noProof/>
                <w:szCs w:val="22"/>
              </w:rPr>
              <w:t xml:space="preserve"> </w:t>
            </w:r>
            <w:r w:rsidRPr="00920D85">
              <w:rPr>
                <w:noProof/>
                <w:szCs w:val="22"/>
              </w:rPr>
              <w:t xml:space="preserve">A, B, C és G csoportok </w:t>
            </w:r>
            <w:r w:rsidR="0009759C">
              <w:rPr>
                <w:noProof/>
                <w:szCs w:val="22"/>
              </w:rPr>
              <w:t xml:space="preserve">cefalosporinokkal szembeni </w:t>
            </w:r>
            <w:r w:rsidRPr="00920D85">
              <w:rPr>
                <w:noProof/>
                <w:szCs w:val="22"/>
              </w:rPr>
              <w:t>érzékenységé</w:t>
            </w:r>
            <w:r w:rsidR="0009759C">
              <w:rPr>
                <w:noProof/>
                <w:szCs w:val="22"/>
              </w:rPr>
              <w:t>re</w:t>
            </w:r>
            <w:r w:rsidRPr="00920D85">
              <w:rPr>
                <w:noProof/>
                <w:szCs w:val="22"/>
              </w:rPr>
              <w:t xml:space="preserve"> a</w:t>
            </w:r>
            <w:r w:rsidR="0009759C">
              <w:rPr>
                <w:noProof/>
                <w:szCs w:val="22"/>
              </w:rPr>
              <w:t xml:space="preserve"> benzilpenicillin</w:t>
            </w:r>
            <w:r w:rsidR="00B56CB4">
              <w:rPr>
                <w:noProof/>
                <w:szCs w:val="22"/>
              </w:rPr>
              <w:t>-</w:t>
            </w:r>
            <w:r w:rsidR="0009759C">
              <w:rPr>
                <w:noProof/>
                <w:szCs w:val="22"/>
              </w:rPr>
              <w:t>érzékenységből lehet következtetni</w:t>
            </w:r>
            <w:r w:rsidRPr="00920D85">
              <w:rPr>
                <w:noProof/>
                <w:szCs w:val="22"/>
              </w:rPr>
              <w:t>.</w:t>
            </w:r>
          </w:p>
        </w:tc>
      </w:tr>
    </w:tbl>
    <w:p w14:paraId="68EC568A" w14:textId="27BC0688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lastRenderedPageBreak/>
        <w:t xml:space="preserve">É = érzékeny, </w:t>
      </w:r>
      <w:r w:rsidR="0009759C">
        <w:rPr>
          <w:szCs w:val="22"/>
        </w:rPr>
        <w:t xml:space="preserve">standard adagolási rend; I = érzékeny, fokozott expozíció, </w:t>
      </w:r>
      <w:r w:rsidRPr="00831917">
        <w:rPr>
          <w:szCs w:val="22"/>
        </w:rPr>
        <w:t>R = rezisztens.</w:t>
      </w:r>
    </w:p>
    <w:p w14:paraId="4DC0E9DD" w14:textId="77777777" w:rsidR="005644C0" w:rsidRPr="00831917" w:rsidRDefault="005644C0" w:rsidP="00831917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7CD8952E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Mikrobiológiai érzékenység</w:t>
      </w:r>
    </w:p>
    <w:p w14:paraId="1BDFF402" w14:textId="1CCF416E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szerzett rezisztencia előfordulási gyakorisága kiválasztott fajok esetében földrajzilag és időben változhat, és kívánatos, hogy legyenek helyi rezisztencia információk, különösen súlyos fertőzések kezelésekor. Szükség esetén szakértő tanácsát kell kérni, ha a rezisztencia helyi prevalenciája olyan, hogy a hatóanyag alkalmazhatósága a fertőzéstípusok legalább egy részében kérdéses.</w:t>
      </w:r>
    </w:p>
    <w:p w14:paraId="79A0B296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24F017BC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A cefuroxim </w:t>
      </w:r>
      <w:r w:rsidRPr="00831917">
        <w:rPr>
          <w:i/>
          <w:szCs w:val="22"/>
        </w:rPr>
        <w:t>in vitro</w:t>
      </w:r>
      <w:r w:rsidRPr="00831917">
        <w:rPr>
          <w:szCs w:val="22"/>
        </w:rPr>
        <w:t xml:space="preserve"> rendszerint hatásos az alábbi mikroorganizmusok ellen.</w:t>
      </w:r>
    </w:p>
    <w:p w14:paraId="29CB48DC" w14:textId="77777777" w:rsidR="005644C0" w:rsidRPr="00831917" w:rsidRDefault="005644C0" w:rsidP="00831917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522"/>
      </w:tblGrid>
      <w:tr w:rsidR="005644C0" w:rsidRPr="00831917" w14:paraId="6439A3C7" w14:textId="77777777" w:rsidTr="00506EAF">
        <w:tc>
          <w:tcPr>
            <w:tcW w:w="8522" w:type="dxa"/>
          </w:tcPr>
          <w:p w14:paraId="76B6F749" w14:textId="77777777" w:rsidR="005644C0" w:rsidRPr="00831917" w:rsidRDefault="005644C0" w:rsidP="00831917">
            <w:pPr>
              <w:spacing w:line="240" w:lineRule="auto"/>
              <w:rPr>
                <w:b/>
                <w:bCs/>
                <w:noProof/>
                <w:szCs w:val="22"/>
              </w:rPr>
            </w:pPr>
            <w:r w:rsidRPr="00831917">
              <w:rPr>
                <w:b/>
                <w:bCs/>
                <w:noProof/>
                <w:szCs w:val="22"/>
              </w:rPr>
              <w:t>Általában érzékeny fajok</w:t>
            </w:r>
          </w:p>
        </w:tc>
      </w:tr>
      <w:tr w:rsidR="005644C0" w:rsidRPr="00831917" w14:paraId="45E6CFD9" w14:textId="77777777" w:rsidTr="00506EAF">
        <w:tc>
          <w:tcPr>
            <w:tcW w:w="8522" w:type="dxa"/>
          </w:tcPr>
          <w:p w14:paraId="124CF7AA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noProof/>
                <w:szCs w:val="22"/>
                <w:u w:val="single"/>
              </w:rPr>
              <w:t>Gram</w:t>
            </w:r>
            <w:r w:rsidRPr="00831917">
              <w:rPr>
                <w:noProof/>
                <w:szCs w:val="22"/>
                <w:u w:val="single"/>
              </w:rPr>
              <w:noBreakHyphen/>
            </w:r>
            <w:r w:rsidRPr="00CF6B6C">
              <w:rPr>
                <w:noProof/>
                <w:szCs w:val="22"/>
                <w:u w:val="single"/>
              </w:rPr>
              <w:t>pozitív aerobok</w:t>
            </w:r>
            <w:r w:rsidRPr="002370A7">
              <w:rPr>
                <w:noProof/>
                <w:szCs w:val="22"/>
                <w:u w:val="single"/>
              </w:rPr>
              <w:t>:</w:t>
            </w:r>
          </w:p>
          <w:p w14:paraId="2DC5FD97" w14:textId="77777777" w:rsidR="005644C0" w:rsidRPr="00831917" w:rsidRDefault="005644C0" w:rsidP="00831917">
            <w:pPr>
              <w:spacing w:line="240" w:lineRule="auto"/>
              <w:rPr>
                <w:szCs w:val="22"/>
                <w:lang w:eastAsia="en-GB"/>
              </w:rPr>
            </w:pPr>
            <w:r w:rsidRPr="00831917">
              <w:rPr>
                <w:i/>
                <w:szCs w:val="22"/>
                <w:lang w:eastAsia="en-GB"/>
              </w:rPr>
              <w:t>Staphylococcus aureus</w:t>
            </w:r>
            <w:r w:rsidRPr="00831917">
              <w:rPr>
                <w:szCs w:val="22"/>
                <w:lang w:eastAsia="en-GB"/>
              </w:rPr>
              <w:t xml:space="preserve"> (meticillinre érzékeny)*</w:t>
            </w:r>
          </w:p>
          <w:p w14:paraId="1F9E529D" w14:textId="77777777" w:rsidR="00D72435" w:rsidRPr="00831917" w:rsidRDefault="00D72435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szCs w:val="22"/>
                <w:lang w:eastAsia="en-GB"/>
              </w:rPr>
              <w:t>Koaguláz</w:t>
            </w:r>
            <w:r w:rsidR="00EA4E0F">
              <w:rPr>
                <w:szCs w:val="22"/>
                <w:lang w:eastAsia="en-GB"/>
              </w:rPr>
              <w:t>-</w:t>
            </w:r>
            <w:r w:rsidRPr="00831917">
              <w:rPr>
                <w:szCs w:val="22"/>
                <w:lang w:eastAsia="en-GB"/>
              </w:rPr>
              <w:t>neg</w:t>
            </w:r>
            <w:r w:rsidR="00EA4E0F">
              <w:rPr>
                <w:szCs w:val="22"/>
                <w:lang w:eastAsia="en-GB"/>
              </w:rPr>
              <w:t>a</w:t>
            </w:r>
            <w:r w:rsidRPr="00831917">
              <w:rPr>
                <w:szCs w:val="22"/>
                <w:lang w:eastAsia="en-GB"/>
              </w:rPr>
              <w:t xml:space="preserve">tív </w:t>
            </w:r>
            <w:r w:rsidR="003646DE" w:rsidRPr="00831917">
              <w:rPr>
                <w:szCs w:val="22"/>
                <w:lang w:eastAsia="en-GB"/>
              </w:rPr>
              <w:t>S</w:t>
            </w:r>
            <w:r w:rsidRPr="00831917">
              <w:rPr>
                <w:szCs w:val="22"/>
                <w:lang w:eastAsia="en-GB"/>
              </w:rPr>
              <w:t>taphylococcus (meticillinre érzékeny)</w:t>
            </w:r>
          </w:p>
          <w:p w14:paraId="17D412D3" w14:textId="77777777" w:rsidR="005644C0" w:rsidRPr="00831917" w:rsidRDefault="005644C0" w:rsidP="00831917">
            <w:pPr>
              <w:spacing w:line="240" w:lineRule="auto"/>
              <w:rPr>
                <w:i/>
                <w:iCs/>
                <w:szCs w:val="22"/>
              </w:rPr>
            </w:pPr>
            <w:r w:rsidRPr="00831917">
              <w:rPr>
                <w:i/>
                <w:iCs/>
                <w:szCs w:val="22"/>
              </w:rPr>
              <w:t>Streptococcus pyogenes</w:t>
            </w:r>
          </w:p>
          <w:p w14:paraId="3DE2EE90" w14:textId="77777777" w:rsidR="00C447D7" w:rsidRPr="00831917" w:rsidRDefault="005644C0" w:rsidP="00831917">
            <w:pPr>
              <w:spacing w:line="240" w:lineRule="auto"/>
              <w:rPr>
                <w:i/>
                <w:iCs/>
                <w:noProof/>
                <w:szCs w:val="22"/>
              </w:rPr>
            </w:pPr>
            <w:r w:rsidRPr="00831917">
              <w:rPr>
                <w:i/>
                <w:iCs/>
                <w:szCs w:val="22"/>
              </w:rPr>
              <w:t>Streptococcus agalactiae</w:t>
            </w:r>
          </w:p>
        </w:tc>
      </w:tr>
      <w:tr w:rsidR="005644C0" w:rsidRPr="00831917" w14:paraId="78EDDD68" w14:textId="77777777" w:rsidTr="00506EAF">
        <w:tc>
          <w:tcPr>
            <w:tcW w:w="8522" w:type="dxa"/>
          </w:tcPr>
          <w:p w14:paraId="42C080E3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noProof/>
                <w:szCs w:val="22"/>
                <w:u w:val="single"/>
              </w:rPr>
              <w:t>Gram</w:t>
            </w:r>
            <w:r w:rsidRPr="00831917">
              <w:rPr>
                <w:noProof/>
                <w:szCs w:val="22"/>
                <w:u w:val="single"/>
              </w:rPr>
              <w:noBreakHyphen/>
              <w:t>negatív aerobok:</w:t>
            </w:r>
          </w:p>
          <w:p w14:paraId="6E1D621F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i/>
                <w:iCs/>
                <w:szCs w:val="22"/>
              </w:rPr>
              <w:t>Haemophilus influenzae</w:t>
            </w:r>
            <w:r w:rsidRPr="00831917">
              <w:rPr>
                <w:szCs w:val="22"/>
              </w:rPr>
              <w:t xml:space="preserve"> </w:t>
            </w:r>
          </w:p>
          <w:p w14:paraId="784A4169" w14:textId="77777777" w:rsidR="005644C0" w:rsidRPr="00831917" w:rsidRDefault="005644C0" w:rsidP="00831917">
            <w:pPr>
              <w:spacing w:line="240" w:lineRule="auto"/>
              <w:rPr>
                <w:i/>
                <w:iCs/>
                <w:noProof/>
                <w:szCs w:val="22"/>
                <w:u w:val="single"/>
              </w:rPr>
            </w:pPr>
            <w:r w:rsidRPr="00831917">
              <w:rPr>
                <w:i/>
                <w:iCs/>
                <w:szCs w:val="22"/>
              </w:rPr>
              <w:t xml:space="preserve">Haemophilus parainfluenzae </w:t>
            </w:r>
          </w:p>
          <w:p w14:paraId="53BC469D" w14:textId="77777777" w:rsidR="005644C0" w:rsidRPr="00831917" w:rsidRDefault="005644C0" w:rsidP="00831917">
            <w:pPr>
              <w:spacing w:line="240" w:lineRule="auto"/>
              <w:rPr>
                <w:i/>
                <w:noProof/>
                <w:szCs w:val="22"/>
              </w:rPr>
            </w:pPr>
            <w:r w:rsidRPr="00831917">
              <w:rPr>
                <w:i/>
                <w:iCs/>
                <w:szCs w:val="22"/>
              </w:rPr>
              <w:t>Moraxella catarrhalis</w:t>
            </w:r>
          </w:p>
        </w:tc>
      </w:tr>
      <w:tr w:rsidR="005644C0" w:rsidRPr="00831917" w14:paraId="7EE60D4F" w14:textId="77777777" w:rsidTr="00506EAF">
        <w:tc>
          <w:tcPr>
            <w:tcW w:w="8522" w:type="dxa"/>
          </w:tcPr>
          <w:p w14:paraId="5853DFF5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noProof/>
                <w:szCs w:val="22"/>
                <w:u w:val="single"/>
              </w:rPr>
              <w:t>Spirocheták:</w:t>
            </w:r>
          </w:p>
          <w:p w14:paraId="24C3998A" w14:textId="77777777" w:rsidR="00C447D7" w:rsidRPr="00831917" w:rsidRDefault="005644C0" w:rsidP="00831917">
            <w:pPr>
              <w:spacing w:line="240" w:lineRule="auto"/>
              <w:rPr>
                <w:i/>
                <w:noProof/>
                <w:szCs w:val="22"/>
              </w:rPr>
            </w:pPr>
            <w:r w:rsidRPr="00831917">
              <w:rPr>
                <w:i/>
                <w:noProof/>
                <w:szCs w:val="22"/>
              </w:rPr>
              <w:t>Borrelia burgdorferi</w:t>
            </w:r>
          </w:p>
        </w:tc>
      </w:tr>
      <w:tr w:rsidR="005644C0" w:rsidRPr="00831917" w14:paraId="4F2FAE4E" w14:textId="77777777" w:rsidTr="00506EAF">
        <w:trPr>
          <w:trHeight w:val="179"/>
        </w:trPr>
        <w:tc>
          <w:tcPr>
            <w:tcW w:w="8522" w:type="dxa"/>
          </w:tcPr>
          <w:p w14:paraId="5A998928" w14:textId="77777777" w:rsidR="005644C0" w:rsidRPr="00831917" w:rsidRDefault="005644C0" w:rsidP="00831917">
            <w:pPr>
              <w:keepNext/>
              <w:spacing w:line="240" w:lineRule="auto"/>
              <w:rPr>
                <w:b/>
                <w:bCs/>
                <w:i/>
                <w:noProof/>
                <w:szCs w:val="22"/>
              </w:rPr>
            </w:pPr>
            <w:r w:rsidRPr="00831917">
              <w:rPr>
                <w:b/>
                <w:bCs/>
                <w:noProof/>
                <w:szCs w:val="22"/>
              </w:rPr>
              <w:t>Mikroorganizmusok, amelyeknél a szerzett rezisztencia problémát okozhat</w:t>
            </w:r>
          </w:p>
        </w:tc>
      </w:tr>
      <w:tr w:rsidR="005644C0" w:rsidRPr="00831917" w14:paraId="27B9545C" w14:textId="77777777" w:rsidTr="00506EAF">
        <w:tc>
          <w:tcPr>
            <w:tcW w:w="8522" w:type="dxa"/>
          </w:tcPr>
          <w:p w14:paraId="733EB9F4" w14:textId="77777777" w:rsidR="00C447D7" w:rsidRPr="00831917" w:rsidRDefault="005644C0" w:rsidP="00831917">
            <w:pPr>
              <w:keepNext/>
              <w:spacing w:line="240" w:lineRule="auto"/>
              <w:rPr>
                <w:i/>
                <w:iCs/>
                <w:szCs w:val="22"/>
                <w:lang w:eastAsia="en-GB"/>
              </w:rPr>
            </w:pPr>
            <w:r w:rsidRPr="00831917">
              <w:rPr>
                <w:noProof/>
                <w:szCs w:val="22"/>
                <w:u w:val="single"/>
              </w:rPr>
              <w:t>Gram</w:t>
            </w:r>
            <w:r w:rsidRPr="00831917">
              <w:rPr>
                <w:noProof/>
                <w:szCs w:val="22"/>
                <w:u w:val="single"/>
              </w:rPr>
              <w:noBreakHyphen/>
              <w:t>pozitív aerobok:</w:t>
            </w:r>
            <w:r w:rsidR="00C447D7" w:rsidRPr="00831917">
              <w:rPr>
                <w:i/>
                <w:iCs/>
                <w:szCs w:val="22"/>
                <w:lang w:eastAsia="en-GB"/>
              </w:rPr>
              <w:t xml:space="preserve"> </w:t>
            </w:r>
          </w:p>
          <w:p w14:paraId="4870BAC1" w14:textId="77777777" w:rsidR="00C447D7" w:rsidRPr="00831917" w:rsidRDefault="00C447D7" w:rsidP="00831917">
            <w:pPr>
              <w:keepNext/>
              <w:spacing w:line="240" w:lineRule="auto"/>
              <w:rPr>
                <w:i/>
                <w:iCs/>
                <w:noProof/>
                <w:szCs w:val="22"/>
              </w:rPr>
            </w:pPr>
            <w:r w:rsidRPr="00831917">
              <w:rPr>
                <w:i/>
                <w:iCs/>
                <w:szCs w:val="22"/>
                <w:lang w:eastAsia="en-GB"/>
              </w:rPr>
              <w:t>Streptococcus pneumoniae</w:t>
            </w:r>
          </w:p>
        </w:tc>
      </w:tr>
      <w:tr w:rsidR="005644C0" w:rsidRPr="00831917" w14:paraId="6164499E" w14:textId="77777777" w:rsidTr="00506EAF">
        <w:tc>
          <w:tcPr>
            <w:tcW w:w="8522" w:type="dxa"/>
          </w:tcPr>
          <w:p w14:paraId="0BE60386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noProof/>
                <w:szCs w:val="22"/>
                <w:u w:val="single"/>
              </w:rPr>
              <w:t>Gram</w:t>
            </w:r>
            <w:r w:rsidRPr="00831917">
              <w:rPr>
                <w:noProof/>
                <w:szCs w:val="22"/>
                <w:u w:val="single"/>
              </w:rPr>
              <w:noBreakHyphen/>
              <w:t>negatív aerobok:</w:t>
            </w:r>
          </w:p>
          <w:p w14:paraId="1221E4B4" w14:textId="77777777" w:rsidR="005644C0" w:rsidRPr="00831917" w:rsidRDefault="005644C0" w:rsidP="00831917">
            <w:pPr>
              <w:spacing w:line="240" w:lineRule="auto"/>
              <w:rPr>
                <w:i/>
                <w:iCs/>
                <w:szCs w:val="22"/>
                <w:lang w:eastAsia="en-GB"/>
              </w:rPr>
            </w:pPr>
            <w:r w:rsidRPr="00831917">
              <w:rPr>
                <w:i/>
                <w:iCs/>
                <w:szCs w:val="22"/>
                <w:lang w:eastAsia="en-GB"/>
              </w:rPr>
              <w:t>Citrobacter freundii</w:t>
            </w:r>
            <w:r w:rsidRPr="00831917" w:rsidDel="00C72C6A">
              <w:rPr>
                <w:i/>
                <w:iCs/>
                <w:szCs w:val="22"/>
                <w:lang w:eastAsia="en-GB"/>
              </w:rPr>
              <w:t xml:space="preserve"> </w:t>
            </w:r>
          </w:p>
          <w:p w14:paraId="394F89A2" w14:textId="389F3480" w:rsidR="005644C0" w:rsidRPr="00831917" w:rsidRDefault="0009759C" w:rsidP="00831917">
            <w:pPr>
              <w:spacing w:line="240" w:lineRule="auto"/>
              <w:rPr>
                <w:i/>
                <w:iCs/>
                <w:szCs w:val="22"/>
                <w:lang w:eastAsia="en-GB"/>
              </w:rPr>
            </w:pPr>
            <w:r>
              <w:rPr>
                <w:i/>
                <w:iCs/>
                <w:szCs w:val="22"/>
                <w:lang w:eastAsia="en-GB"/>
              </w:rPr>
              <w:t>Klebsiella</w:t>
            </w:r>
            <w:r w:rsidRPr="00831917">
              <w:rPr>
                <w:i/>
                <w:iCs/>
                <w:szCs w:val="22"/>
                <w:lang w:eastAsia="en-GB"/>
              </w:rPr>
              <w:t xml:space="preserve"> </w:t>
            </w:r>
            <w:r w:rsidR="005644C0" w:rsidRPr="00831917">
              <w:rPr>
                <w:i/>
                <w:iCs/>
                <w:szCs w:val="22"/>
                <w:lang w:eastAsia="en-GB"/>
              </w:rPr>
              <w:t>aerogenes</w:t>
            </w:r>
          </w:p>
          <w:p w14:paraId="3B5FE731" w14:textId="77777777" w:rsidR="005644C0" w:rsidRPr="00831917" w:rsidRDefault="005644C0" w:rsidP="00831917">
            <w:pPr>
              <w:spacing w:line="240" w:lineRule="auto"/>
              <w:rPr>
                <w:bCs/>
                <w:noProof/>
                <w:szCs w:val="22"/>
                <w:u w:val="single"/>
              </w:rPr>
            </w:pPr>
            <w:r w:rsidRPr="00831917">
              <w:rPr>
                <w:i/>
                <w:iCs/>
                <w:szCs w:val="22"/>
                <w:lang w:eastAsia="en-GB"/>
              </w:rPr>
              <w:t>Enterobacter cloacae</w:t>
            </w:r>
          </w:p>
          <w:p w14:paraId="69350662" w14:textId="77777777" w:rsidR="005644C0" w:rsidRPr="00831917" w:rsidRDefault="005644C0" w:rsidP="00831917">
            <w:pPr>
              <w:spacing w:line="240" w:lineRule="auto"/>
              <w:rPr>
                <w:bCs/>
                <w:noProof/>
                <w:szCs w:val="22"/>
                <w:u w:val="single"/>
              </w:rPr>
            </w:pPr>
            <w:r w:rsidRPr="00831917">
              <w:rPr>
                <w:i/>
                <w:iCs/>
                <w:szCs w:val="22"/>
                <w:lang w:eastAsia="en-GB"/>
              </w:rPr>
              <w:t>Escherichia coli</w:t>
            </w:r>
          </w:p>
          <w:p w14:paraId="3242D7A9" w14:textId="77777777" w:rsidR="005644C0" w:rsidRPr="00831917" w:rsidRDefault="005644C0" w:rsidP="00831917">
            <w:pPr>
              <w:spacing w:line="240" w:lineRule="auto"/>
              <w:rPr>
                <w:bCs/>
                <w:noProof/>
                <w:szCs w:val="22"/>
                <w:u w:val="single"/>
              </w:rPr>
            </w:pPr>
            <w:r w:rsidRPr="00831917">
              <w:rPr>
                <w:i/>
                <w:iCs/>
                <w:szCs w:val="22"/>
                <w:lang w:eastAsia="en-GB"/>
              </w:rPr>
              <w:t>Klebsiella pneumoniae</w:t>
            </w:r>
          </w:p>
          <w:p w14:paraId="4958441D" w14:textId="77777777" w:rsidR="005644C0" w:rsidRPr="00831917" w:rsidRDefault="005644C0" w:rsidP="00831917">
            <w:pPr>
              <w:spacing w:line="240" w:lineRule="auto"/>
              <w:rPr>
                <w:bCs/>
                <w:noProof/>
                <w:szCs w:val="22"/>
                <w:u w:val="single"/>
              </w:rPr>
            </w:pPr>
            <w:r w:rsidRPr="00831917">
              <w:rPr>
                <w:i/>
                <w:iCs/>
                <w:szCs w:val="22"/>
                <w:lang w:eastAsia="en-GB"/>
              </w:rPr>
              <w:t>Proteus mirabilis</w:t>
            </w:r>
          </w:p>
          <w:p w14:paraId="5A39DE95" w14:textId="57D17C10" w:rsidR="005644C0" w:rsidRPr="00831917" w:rsidRDefault="005644C0" w:rsidP="00831917">
            <w:pPr>
              <w:spacing w:line="240" w:lineRule="auto"/>
              <w:rPr>
                <w:bCs/>
                <w:noProof/>
                <w:szCs w:val="22"/>
                <w:u w:val="single"/>
              </w:rPr>
            </w:pPr>
            <w:r w:rsidRPr="00831917">
              <w:rPr>
                <w:iCs/>
                <w:szCs w:val="22"/>
                <w:lang w:eastAsia="en-GB"/>
              </w:rPr>
              <w:t>Proteus</w:t>
            </w:r>
            <w:r w:rsidRPr="00831917">
              <w:rPr>
                <w:i/>
                <w:iCs/>
                <w:szCs w:val="22"/>
                <w:lang w:eastAsia="en-GB"/>
              </w:rPr>
              <w:t xml:space="preserve"> </w:t>
            </w:r>
            <w:r w:rsidRPr="00831917">
              <w:rPr>
                <w:iCs/>
                <w:szCs w:val="22"/>
                <w:lang w:eastAsia="en-GB"/>
              </w:rPr>
              <w:t>spp</w:t>
            </w:r>
            <w:r w:rsidR="00C447D7" w:rsidRPr="00831917">
              <w:rPr>
                <w:iCs/>
                <w:szCs w:val="22"/>
                <w:lang w:eastAsia="en-GB"/>
              </w:rPr>
              <w:t>.</w:t>
            </w:r>
            <w:r w:rsidRPr="00831917">
              <w:rPr>
                <w:i/>
                <w:iCs/>
                <w:szCs w:val="22"/>
                <w:lang w:eastAsia="en-GB"/>
              </w:rPr>
              <w:t xml:space="preserve"> </w:t>
            </w:r>
            <w:r w:rsidRPr="00831917">
              <w:rPr>
                <w:szCs w:val="22"/>
                <w:lang w:eastAsia="en-GB"/>
              </w:rPr>
              <w:t xml:space="preserve">(a </w:t>
            </w:r>
            <w:r w:rsidRPr="00831917">
              <w:rPr>
                <w:i/>
                <w:szCs w:val="22"/>
                <w:lang w:eastAsia="en-GB"/>
              </w:rPr>
              <w:t>P. vulgaris</w:t>
            </w:r>
            <w:r w:rsidR="00565047">
              <w:rPr>
                <w:i/>
                <w:szCs w:val="22"/>
                <w:lang w:eastAsia="en-GB"/>
              </w:rPr>
              <w:t xml:space="preserve"> </w:t>
            </w:r>
            <w:r w:rsidR="00565047" w:rsidRPr="00565047">
              <w:rPr>
                <w:szCs w:val="22"/>
                <w:lang w:eastAsia="en-GB"/>
              </w:rPr>
              <w:t>kivételével</w:t>
            </w:r>
            <w:r w:rsidRPr="00565047">
              <w:rPr>
                <w:szCs w:val="22"/>
                <w:lang w:eastAsia="en-GB"/>
              </w:rPr>
              <w:t>)</w:t>
            </w:r>
          </w:p>
          <w:p w14:paraId="791CCFFE" w14:textId="77777777" w:rsidR="005644C0" w:rsidRPr="00831917" w:rsidRDefault="005644C0" w:rsidP="00831917">
            <w:pPr>
              <w:spacing w:line="240" w:lineRule="auto"/>
              <w:rPr>
                <w:szCs w:val="22"/>
                <w:u w:val="single"/>
                <w:lang w:eastAsia="en-GB"/>
              </w:rPr>
            </w:pPr>
            <w:r w:rsidRPr="00831917">
              <w:rPr>
                <w:iCs/>
                <w:szCs w:val="22"/>
                <w:lang w:eastAsia="en-GB"/>
              </w:rPr>
              <w:t>Providencia</w:t>
            </w:r>
            <w:r w:rsidRPr="00831917">
              <w:rPr>
                <w:szCs w:val="22"/>
                <w:lang w:eastAsia="en-GB"/>
              </w:rPr>
              <w:t xml:space="preserve"> spp. </w:t>
            </w:r>
          </w:p>
        </w:tc>
      </w:tr>
      <w:tr w:rsidR="005644C0" w:rsidRPr="00831917" w14:paraId="3966C7C3" w14:textId="77777777" w:rsidTr="00506EAF">
        <w:tc>
          <w:tcPr>
            <w:tcW w:w="8522" w:type="dxa"/>
          </w:tcPr>
          <w:p w14:paraId="5F692676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noProof/>
                <w:szCs w:val="22"/>
                <w:u w:val="single"/>
              </w:rPr>
              <w:t>Gram</w:t>
            </w:r>
            <w:r w:rsidRPr="00831917">
              <w:rPr>
                <w:noProof/>
                <w:szCs w:val="22"/>
                <w:u w:val="single"/>
              </w:rPr>
              <w:noBreakHyphen/>
              <w:t>pozitív anaerobok:</w:t>
            </w:r>
          </w:p>
          <w:p w14:paraId="5FF56491" w14:textId="77777777" w:rsidR="005644C0" w:rsidRPr="00831917" w:rsidRDefault="005644C0" w:rsidP="00831917">
            <w:pPr>
              <w:spacing w:line="240" w:lineRule="auto"/>
              <w:rPr>
                <w:szCs w:val="22"/>
                <w:lang w:eastAsia="en-GB"/>
              </w:rPr>
            </w:pPr>
            <w:r w:rsidRPr="00831917">
              <w:rPr>
                <w:iCs/>
                <w:szCs w:val="22"/>
                <w:lang w:eastAsia="en-GB"/>
              </w:rPr>
              <w:t>Peptostreptococcus</w:t>
            </w:r>
            <w:r w:rsidRPr="00831917">
              <w:rPr>
                <w:i/>
                <w:iCs/>
                <w:szCs w:val="22"/>
                <w:lang w:eastAsia="en-GB"/>
              </w:rPr>
              <w:t xml:space="preserve"> </w:t>
            </w:r>
            <w:r w:rsidRPr="00831917">
              <w:rPr>
                <w:iCs/>
                <w:szCs w:val="22"/>
                <w:lang w:eastAsia="en-GB"/>
              </w:rPr>
              <w:t>spp</w:t>
            </w:r>
            <w:r w:rsidRPr="00831917">
              <w:rPr>
                <w:i/>
                <w:iCs/>
                <w:szCs w:val="22"/>
                <w:lang w:eastAsia="en-GB"/>
              </w:rPr>
              <w:t>.</w:t>
            </w:r>
          </w:p>
          <w:p w14:paraId="641FF780" w14:textId="77777777" w:rsidR="005644C0" w:rsidRPr="00831917" w:rsidRDefault="005644C0" w:rsidP="00831917">
            <w:pPr>
              <w:spacing w:line="240" w:lineRule="auto"/>
              <w:rPr>
                <w:szCs w:val="22"/>
                <w:lang w:eastAsia="en-GB"/>
              </w:rPr>
            </w:pPr>
            <w:r w:rsidRPr="00831917">
              <w:rPr>
                <w:iCs/>
                <w:szCs w:val="22"/>
              </w:rPr>
              <w:t>Propionibacterium</w:t>
            </w:r>
            <w:r w:rsidRPr="00831917">
              <w:rPr>
                <w:i/>
                <w:iCs/>
                <w:szCs w:val="22"/>
              </w:rPr>
              <w:t xml:space="preserve"> </w:t>
            </w:r>
            <w:r w:rsidRPr="00831917">
              <w:rPr>
                <w:iCs/>
                <w:szCs w:val="22"/>
              </w:rPr>
              <w:t>spp.</w:t>
            </w:r>
            <w:r w:rsidRPr="00831917">
              <w:rPr>
                <w:i/>
                <w:iCs/>
                <w:szCs w:val="22"/>
              </w:rPr>
              <w:t xml:space="preserve"> </w:t>
            </w:r>
          </w:p>
        </w:tc>
      </w:tr>
      <w:tr w:rsidR="005644C0" w:rsidRPr="00831917" w14:paraId="1B436C80" w14:textId="77777777" w:rsidTr="00506EAF">
        <w:tc>
          <w:tcPr>
            <w:tcW w:w="8522" w:type="dxa"/>
          </w:tcPr>
          <w:p w14:paraId="370A4AA6" w14:textId="77777777" w:rsidR="005644C0" w:rsidRPr="00831917" w:rsidRDefault="005644C0" w:rsidP="00831917">
            <w:pPr>
              <w:spacing w:line="240" w:lineRule="auto"/>
              <w:rPr>
                <w:noProof/>
                <w:szCs w:val="22"/>
                <w:u w:val="single"/>
              </w:rPr>
            </w:pPr>
            <w:r w:rsidRPr="00831917">
              <w:rPr>
                <w:noProof/>
                <w:szCs w:val="22"/>
                <w:u w:val="single"/>
              </w:rPr>
              <w:t>Gram</w:t>
            </w:r>
            <w:r w:rsidRPr="00831917">
              <w:rPr>
                <w:noProof/>
                <w:szCs w:val="22"/>
                <w:u w:val="single"/>
              </w:rPr>
              <w:noBreakHyphen/>
              <w:t>negatív anaerobok:</w:t>
            </w:r>
          </w:p>
          <w:p w14:paraId="20DE8EBC" w14:textId="77777777" w:rsidR="005644C0" w:rsidRPr="00831917" w:rsidRDefault="005644C0" w:rsidP="00831917">
            <w:pPr>
              <w:spacing w:line="240" w:lineRule="auto"/>
              <w:rPr>
                <w:i/>
                <w:iCs/>
                <w:szCs w:val="22"/>
              </w:rPr>
            </w:pPr>
            <w:r w:rsidRPr="00831917">
              <w:rPr>
                <w:iCs/>
                <w:szCs w:val="22"/>
              </w:rPr>
              <w:t>Fusobacterium</w:t>
            </w:r>
            <w:r w:rsidRPr="00831917">
              <w:rPr>
                <w:i/>
                <w:iCs/>
                <w:szCs w:val="22"/>
              </w:rPr>
              <w:t xml:space="preserve"> </w:t>
            </w:r>
            <w:r w:rsidRPr="00831917">
              <w:rPr>
                <w:iCs/>
                <w:szCs w:val="22"/>
              </w:rPr>
              <w:t>spp</w:t>
            </w:r>
            <w:r w:rsidRPr="00831917">
              <w:rPr>
                <w:i/>
                <w:iCs/>
                <w:szCs w:val="22"/>
              </w:rPr>
              <w:t>.</w:t>
            </w:r>
          </w:p>
          <w:p w14:paraId="15168044" w14:textId="77777777" w:rsidR="00C447D7" w:rsidRPr="00831917" w:rsidRDefault="005644C0" w:rsidP="00831917">
            <w:pPr>
              <w:spacing w:line="240" w:lineRule="auto"/>
              <w:rPr>
                <w:szCs w:val="22"/>
                <w:u w:val="single"/>
                <w:lang w:eastAsia="en-GB"/>
              </w:rPr>
            </w:pPr>
            <w:r w:rsidRPr="00831917">
              <w:rPr>
                <w:iCs/>
                <w:szCs w:val="22"/>
              </w:rPr>
              <w:t>Bacteroides</w:t>
            </w:r>
            <w:r w:rsidRPr="00831917">
              <w:rPr>
                <w:i/>
                <w:iCs/>
                <w:szCs w:val="22"/>
              </w:rPr>
              <w:t xml:space="preserve"> </w:t>
            </w:r>
            <w:r w:rsidRPr="00831917">
              <w:rPr>
                <w:iCs/>
                <w:szCs w:val="22"/>
              </w:rPr>
              <w:t>spp</w:t>
            </w:r>
          </w:p>
        </w:tc>
      </w:tr>
      <w:tr w:rsidR="005644C0" w:rsidRPr="00831917" w14:paraId="738E14DA" w14:textId="77777777" w:rsidTr="00506EAF">
        <w:tc>
          <w:tcPr>
            <w:tcW w:w="8522" w:type="dxa"/>
          </w:tcPr>
          <w:p w14:paraId="04A61C08" w14:textId="77777777" w:rsidR="005644C0" w:rsidRPr="00831917" w:rsidRDefault="005644C0" w:rsidP="00831917">
            <w:pPr>
              <w:spacing w:line="240" w:lineRule="auto"/>
              <w:rPr>
                <w:b/>
                <w:bCs/>
                <w:noProof/>
                <w:szCs w:val="22"/>
              </w:rPr>
            </w:pPr>
            <w:r w:rsidRPr="00831917">
              <w:rPr>
                <w:b/>
                <w:bCs/>
                <w:noProof/>
                <w:szCs w:val="22"/>
              </w:rPr>
              <w:t xml:space="preserve">Eredendően rezisztens mikroorganizmusok </w:t>
            </w:r>
          </w:p>
        </w:tc>
      </w:tr>
      <w:tr w:rsidR="005644C0" w:rsidRPr="00831917" w14:paraId="16F8EBC7" w14:textId="77777777" w:rsidTr="00506EAF">
        <w:tc>
          <w:tcPr>
            <w:tcW w:w="8522" w:type="dxa"/>
          </w:tcPr>
          <w:p w14:paraId="2CC2E702" w14:textId="77777777" w:rsidR="005644C0" w:rsidRPr="00831917" w:rsidRDefault="005644C0" w:rsidP="00831917">
            <w:pPr>
              <w:spacing w:line="240" w:lineRule="auto"/>
              <w:rPr>
                <w:color w:val="000000"/>
                <w:szCs w:val="22"/>
                <w:u w:val="single"/>
                <w:lang w:eastAsia="en-GB"/>
              </w:rPr>
            </w:pPr>
            <w:r w:rsidRPr="00831917">
              <w:rPr>
                <w:color w:val="000000"/>
                <w:szCs w:val="22"/>
                <w:u w:val="single"/>
                <w:lang w:eastAsia="en-GB"/>
              </w:rPr>
              <w:t>Gram</w:t>
            </w:r>
            <w:r w:rsidRPr="00831917">
              <w:rPr>
                <w:color w:val="000000"/>
                <w:szCs w:val="22"/>
                <w:u w:val="single"/>
                <w:lang w:eastAsia="en-GB"/>
              </w:rPr>
              <w:noBreakHyphen/>
              <w:t>pozitív aerobok:</w:t>
            </w:r>
          </w:p>
          <w:p w14:paraId="4C24FC49" w14:textId="77777777" w:rsidR="005644C0" w:rsidRPr="00831917" w:rsidRDefault="005644C0" w:rsidP="00831917">
            <w:pPr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31917">
              <w:rPr>
                <w:i/>
                <w:iCs/>
                <w:color w:val="000000"/>
                <w:szCs w:val="22"/>
                <w:lang w:eastAsia="en-GB"/>
              </w:rPr>
              <w:t xml:space="preserve">Enterococcus faecalis </w:t>
            </w:r>
          </w:p>
          <w:p w14:paraId="41EF5E14" w14:textId="77777777" w:rsidR="00C447D7" w:rsidRPr="00831917" w:rsidRDefault="005644C0" w:rsidP="00831917">
            <w:pPr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31917">
              <w:rPr>
                <w:i/>
                <w:iCs/>
                <w:color w:val="000000"/>
                <w:szCs w:val="22"/>
                <w:lang w:eastAsia="en-GB"/>
              </w:rPr>
              <w:t>Enterococcus faecium</w:t>
            </w:r>
          </w:p>
        </w:tc>
      </w:tr>
      <w:tr w:rsidR="005644C0" w:rsidRPr="00831917" w14:paraId="6CE7134D" w14:textId="77777777" w:rsidTr="00506EAF">
        <w:tc>
          <w:tcPr>
            <w:tcW w:w="8522" w:type="dxa"/>
          </w:tcPr>
          <w:p w14:paraId="6679E1D8" w14:textId="77777777" w:rsidR="005644C0" w:rsidRPr="00831917" w:rsidRDefault="005644C0" w:rsidP="00831917">
            <w:pPr>
              <w:spacing w:line="240" w:lineRule="auto"/>
              <w:rPr>
                <w:color w:val="000000"/>
                <w:szCs w:val="22"/>
                <w:u w:val="single"/>
                <w:lang w:eastAsia="en-GB"/>
              </w:rPr>
            </w:pPr>
            <w:r w:rsidRPr="00831917">
              <w:rPr>
                <w:color w:val="000000"/>
                <w:szCs w:val="22"/>
                <w:u w:val="single"/>
                <w:lang w:eastAsia="en-GB"/>
              </w:rPr>
              <w:t>Gram</w:t>
            </w:r>
            <w:r w:rsidRPr="00831917">
              <w:rPr>
                <w:color w:val="000000"/>
                <w:szCs w:val="22"/>
                <w:u w:val="single"/>
                <w:lang w:eastAsia="en-GB"/>
              </w:rPr>
              <w:noBreakHyphen/>
              <w:t>negatív aerobok:</w:t>
            </w:r>
          </w:p>
          <w:p w14:paraId="6CDA1048" w14:textId="77777777" w:rsidR="005644C0" w:rsidRPr="00831917" w:rsidRDefault="005644C0" w:rsidP="00831917">
            <w:pPr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31917">
              <w:rPr>
                <w:iCs/>
                <w:color w:val="000000"/>
                <w:szCs w:val="22"/>
                <w:lang w:eastAsia="en-GB"/>
              </w:rPr>
              <w:t>Acinetobacter</w:t>
            </w:r>
            <w:r w:rsidRPr="00831917">
              <w:rPr>
                <w:i/>
                <w:iCs/>
                <w:color w:val="000000"/>
                <w:szCs w:val="22"/>
                <w:lang w:eastAsia="en-GB"/>
              </w:rPr>
              <w:t xml:space="preserve"> </w:t>
            </w:r>
            <w:r w:rsidRPr="00831917">
              <w:rPr>
                <w:iCs/>
                <w:color w:val="000000"/>
                <w:szCs w:val="22"/>
                <w:lang w:eastAsia="en-GB"/>
              </w:rPr>
              <w:t xml:space="preserve">spp. </w:t>
            </w:r>
          </w:p>
          <w:p w14:paraId="04AF7AD1" w14:textId="77777777" w:rsidR="005644C0" w:rsidRPr="00831917" w:rsidRDefault="005644C0" w:rsidP="00831917">
            <w:pPr>
              <w:spacing w:line="240" w:lineRule="auto"/>
              <w:rPr>
                <w:iCs/>
                <w:color w:val="000000"/>
                <w:szCs w:val="22"/>
                <w:lang w:eastAsia="en-GB"/>
              </w:rPr>
            </w:pPr>
            <w:r w:rsidRPr="00831917">
              <w:rPr>
                <w:iCs/>
                <w:szCs w:val="22"/>
              </w:rPr>
              <w:t>Campylobacter</w:t>
            </w:r>
            <w:r w:rsidRPr="00831917">
              <w:rPr>
                <w:i/>
                <w:iCs/>
                <w:szCs w:val="22"/>
              </w:rPr>
              <w:t xml:space="preserve"> </w:t>
            </w:r>
            <w:r w:rsidRPr="00831917">
              <w:rPr>
                <w:iCs/>
                <w:szCs w:val="22"/>
              </w:rPr>
              <w:t>spp</w:t>
            </w:r>
            <w:r w:rsidRPr="00831917">
              <w:rPr>
                <w:i/>
                <w:iCs/>
                <w:color w:val="000000"/>
                <w:szCs w:val="22"/>
                <w:lang w:eastAsia="en-GB"/>
              </w:rPr>
              <w:t>.</w:t>
            </w:r>
          </w:p>
          <w:p w14:paraId="5B0763B0" w14:textId="77777777" w:rsidR="005644C0" w:rsidRPr="00831917" w:rsidRDefault="005644C0" w:rsidP="00831917">
            <w:pPr>
              <w:spacing w:line="240" w:lineRule="auto"/>
              <w:rPr>
                <w:i/>
                <w:iCs/>
                <w:szCs w:val="22"/>
                <w:lang w:eastAsia="en-GB"/>
              </w:rPr>
            </w:pPr>
            <w:r w:rsidRPr="00831917">
              <w:rPr>
                <w:i/>
                <w:iCs/>
                <w:szCs w:val="22"/>
                <w:lang w:eastAsia="en-GB"/>
              </w:rPr>
              <w:lastRenderedPageBreak/>
              <w:t>Morganella morganii</w:t>
            </w:r>
          </w:p>
          <w:p w14:paraId="458846E1" w14:textId="77777777" w:rsidR="005644C0" w:rsidRPr="00831917" w:rsidRDefault="005644C0" w:rsidP="00831917">
            <w:pPr>
              <w:spacing w:line="240" w:lineRule="auto"/>
              <w:rPr>
                <w:i/>
                <w:iCs/>
                <w:color w:val="000000"/>
                <w:szCs w:val="22"/>
                <w:lang w:eastAsia="en-GB"/>
              </w:rPr>
            </w:pPr>
            <w:r w:rsidRPr="00831917">
              <w:rPr>
                <w:i/>
                <w:iCs/>
                <w:color w:val="000000"/>
                <w:szCs w:val="22"/>
                <w:lang w:eastAsia="en-GB"/>
              </w:rPr>
              <w:t>Proteus vulgaris</w:t>
            </w:r>
          </w:p>
          <w:p w14:paraId="18140DD1" w14:textId="77777777" w:rsidR="005644C0" w:rsidRPr="00831917" w:rsidRDefault="005644C0" w:rsidP="00831917">
            <w:pPr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31917">
              <w:rPr>
                <w:i/>
                <w:iCs/>
                <w:color w:val="000000"/>
                <w:szCs w:val="22"/>
                <w:lang w:eastAsia="en-GB"/>
              </w:rPr>
              <w:t>Pseudomonas aeruginosa</w:t>
            </w:r>
          </w:p>
          <w:p w14:paraId="5462C9DD" w14:textId="77777777" w:rsidR="00C447D7" w:rsidRPr="00831917" w:rsidRDefault="005644C0" w:rsidP="00831917">
            <w:pPr>
              <w:spacing w:line="240" w:lineRule="auto"/>
              <w:rPr>
                <w:i/>
                <w:color w:val="000000"/>
                <w:szCs w:val="22"/>
                <w:lang w:eastAsia="en-GB"/>
              </w:rPr>
            </w:pPr>
            <w:r w:rsidRPr="00831917">
              <w:rPr>
                <w:i/>
                <w:color w:val="000000"/>
                <w:szCs w:val="22"/>
                <w:lang w:eastAsia="en-GB"/>
              </w:rPr>
              <w:t>Serratia</w:t>
            </w:r>
            <w:r w:rsidRPr="00831917">
              <w:rPr>
                <w:color w:val="000000"/>
                <w:szCs w:val="22"/>
                <w:lang w:eastAsia="en-GB"/>
              </w:rPr>
              <w:t xml:space="preserve"> </w:t>
            </w:r>
            <w:r w:rsidRPr="00831917">
              <w:rPr>
                <w:i/>
                <w:color w:val="000000"/>
                <w:szCs w:val="22"/>
                <w:lang w:eastAsia="en-GB"/>
              </w:rPr>
              <w:t>marcescens</w:t>
            </w:r>
          </w:p>
        </w:tc>
      </w:tr>
      <w:tr w:rsidR="005644C0" w:rsidRPr="00831917" w14:paraId="5E13A90F" w14:textId="77777777" w:rsidTr="00506EAF">
        <w:tc>
          <w:tcPr>
            <w:tcW w:w="8522" w:type="dxa"/>
          </w:tcPr>
          <w:p w14:paraId="77DC6003" w14:textId="77777777" w:rsidR="005644C0" w:rsidRPr="00831917" w:rsidRDefault="005644C0" w:rsidP="00831917">
            <w:pPr>
              <w:spacing w:line="240" w:lineRule="auto"/>
              <w:rPr>
                <w:color w:val="000000"/>
                <w:szCs w:val="22"/>
                <w:u w:val="single"/>
                <w:lang w:eastAsia="en-GB"/>
              </w:rPr>
            </w:pPr>
            <w:r w:rsidRPr="00831917">
              <w:rPr>
                <w:color w:val="000000"/>
                <w:szCs w:val="22"/>
                <w:u w:val="single"/>
                <w:lang w:eastAsia="en-GB"/>
              </w:rPr>
              <w:lastRenderedPageBreak/>
              <w:t>Gram</w:t>
            </w:r>
            <w:r w:rsidRPr="00831917">
              <w:rPr>
                <w:color w:val="000000"/>
                <w:szCs w:val="22"/>
                <w:u w:val="single"/>
                <w:lang w:eastAsia="en-GB"/>
              </w:rPr>
              <w:noBreakHyphen/>
              <w:t>negatív anaerobok:</w:t>
            </w:r>
          </w:p>
          <w:p w14:paraId="5C5C5AC9" w14:textId="77777777" w:rsidR="00C447D7" w:rsidRPr="00831917" w:rsidRDefault="005644C0" w:rsidP="00831917">
            <w:pPr>
              <w:spacing w:line="240" w:lineRule="auto"/>
              <w:rPr>
                <w:color w:val="000000"/>
                <w:szCs w:val="22"/>
                <w:u w:val="single"/>
                <w:lang w:eastAsia="en-GB"/>
              </w:rPr>
            </w:pPr>
            <w:r w:rsidRPr="00831917">
              <w:rPr>
                <w:i/>
                <w:iCs/>
                <w:szCs w:val="22"/>
              </w:rPr>
              <w:t>Bacteroides fragilis</w:t>
            </w:r>
            <w:r w:rsidRPr="00831917">
              <w:rPr>
                <w:szCs w:val="22"/>
              </w:rPr>
              <w:t xml:space="preserve"> </w:t>
            </w:r>
          </w:p>
        </w:tc>
      </w:tr>
      <w:tr w:rsidR="005644C0" w:rsidRPr="00831917" w14:paraId="1AFC6CED" w14:textId="77777777" w:rsidTr="00506EAF">
        <w:tc>
          <w:tcPr>
            <w:tcW w:w="8522" w:type="dxa"/>
          </w:tcPr>
          <w:p w14:paraId="33498EB3" w14:textId="530497DB" w:rsidR="005644C0" w:rsidRPr="00831917" w:rsidRDefault="005644C0" w:rsidP="00831917">
            <w:pPr>
              <w:keepNext/>
              <w:spacing w:line="240" w:lineRule="auto"/>
              <w:rPr>
                <w:color w:val="000000"/>
                <w:szCs w:val="22"/>
                <w:u w:val="single"/>
                <w:lang w:eastAsia="en-GB"/>
              </w:rPr>
            </w:pPr>
            <w:r w:rsidRPr="00831917">
              <w:rPr>
                <w:color w:val="000000"/>
                <w:szCs w:val="22"/>
                <w:u w:val="single"/>
                <w:lang w:eastAsia="en-GB"/>
              </w:rPr>
              <w:t>Egy</w:t>
            </w:r>
            <w:r w:rsidR="00AC0D6C">
              <w:rPr>
                <w:color w:val="000000"/>
                <w:szCs w:val="22"/>
                <w:u w:val="single"/>
                <w:lang w:eastAsia="en-GB"/>
              </w:rPr>
              <w:t>é</w:t>
            </w:r>
            <w:r w:rsidRPr="00831917">
              <w:rPr>
                <w:color w:val="000000"/>
                <w:szCs w:val="22"/>
                <w:u w:val="single"/>
                <w:lang w:eastAsia="en-GB"/>
              </w:rPr>
              <w:t>b</w:t>
            </w:r>
            <w:r w:rsidR="00832FBA">
              <w:rPr>
                <w:color w:val="000000"/>
                <w:szCs w:val="22"/>
                <w:u w:val="single"/>
                <w:lang w:eastAsia="en-GB"/>
              </w:rPr>
              <w:t xml:space="preserve"> </w:t>
            </w:r>
            <w:r w:rsidR="00D3289D">
              <w:rPr>
                <w:color w:val="000000"/>
                <w:szCs w:val="22"/>
                <w:u w:val="single"/>
                <w:lang w:eastAsia="en-GB"/>
              </w:rPr>
              <w:t>mikroorganizmusok</w:t>
            </w:r>
            <w:r w:rsidRPr="00831917">
              <w:rPr>
                <w:color w:val="000000"/>
                <w:szCs w:val="22"/>
                <w:u w:val="single"/>
                <w:lang w:eastAsia="en-GB"/>
              </w:rPr>
              <w:t>:</w:t>
            </w:r>
          </w:p>
          <w:p w14:paraId="27F4323C" w14:textId="77777777" w:rsidR="005644C0" w:rsidRPr="00831917" w:rsidRDefault="005644C0" w:rsidP="00831917">
            <w:pPr>
              <w:keepNext/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31917">
              <w:rPr>
                <w:iCs/>
                <w:color w:val="000000"/>
                <w:szCs w:val="22"/>
                <w:lang w:eastAsia="en-GB"/>
              </w:rPr>
              <w:t>Chlamydia</w:t>
            </w:r>
            <w:r w:rsidRPr="00831917">
              <w:rPr>
                <w:i/>
                <w:iCs/>
                <w:color w:val="000000"/>
                <w:szCs w:val="22"/>
                <w:lang w:eastAsia="en-GB"/>
              </w:rPr>
              <w:t xml:space="preserve"> </w:t>
            </w:r>
            <w:r w:rsidRPr="00831917">
              <w:rPr>
                <w:color w:val="000000"/>
                <w:szCs w:val="22"/>
                <w:lang w:eastAsia="en-GB"/>
              </w:rPr>
              <w:t>spp.</w:t>
            </w:r>
          </w:p>
          <w:p w14:paraId="5E37ED07" w14:textId="77777777" w:rsidR="005644C0" w:rsidRPr="00831917" w:rsidRDefault="005644C0" w:rsidP="00831917">
            <w:pPr>
              <w:keepNext/>
              <w:spacing w:line="240" w:lineRule="auto"/>
              <w:rPr>
                <w:color w:val="000000"/>
                <w:szCs w:val="22"/>
                <w:lang w:eastAsia="en-GB"/>
              </w:rPr>
            </w:pPr>
            <w:r w:rsidRPr="00831917">
              <w:rPr>
                <w:iCs/>
                <w:color w:val="000000"/>
                <w:szCs w:val="22"/>
                <w:lang w:eastAsia="en-GB"/>
              </w:rPr>
              <w:t>Mycoplasma</w:t>
            </w:r>
            <w:r w:rsidRPr="00831917">
              <w:rPr>
                <w:color w:val="000000"/>
                <w:szCs w:val="22"/>
                <w:lang w:eastAsia="en-GB"/>
              </w:rPr>
              <w:t xml:space="preserve"> spp.</w:t>
            </w:r>
          </w:p>
          <w:p w14:paraId="228D1F74" w14:textId="77777777" w:rsidR="004C1CC2" w:rsidRPr="00831917" w:rsidRDefault="005644C0" w:rsidP="00831917">
            <w:pPr>
              <w:keepNext/>
              <w:spacing w:line="240" w:lineRule="auto"/>
              <w:rPr>
                <w:color w:val="000000"/>
                <w:szCs w:val="22"/>
                <w:u w:val="single"/>
                <w:lang w:eastAsia="en-GB"/>
              </w:rPr>
            </w:pPr>
            <w:r w:rsidRPr="00831917">
              <w:rPr>
                <w:iCs/>
                <w:szCs w:val="22"/>
              </w:rPr>
              <w:t>Legionella</w:t>
            </w:r>
            <w:r w:rsidRPr="00831917">
              <w:rPr>
                <w:szCs w:val="22"/>
              </w:rPr>
              <w:t xml:space="preserve"> spp.</w:t>
            </w:r>
          </w:p>
        </w:tc>
      </w:tr>
    </w:tbl>
    <w:p w14:paraId="60EB7405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* Az összes meticillinre rezisztens </w:t>
      </w:r>
      <w:r w:rsidRPr="00831917">
        <w:rPr>
          <w:i/>
          <w:szCs w:val="22"/>
        </w:rPr>
        <w:t>S. aureus</w:t>
      </w:r>
      <w:r w:rsidRPr="00831917">
        <w:rPr>
          <w:szCs w:val="22"/>
        </w:rPr>
        <w:t xml:space="preserve"> rezisztens cefuroximra is.</w:t>
      </w:r>
    </w:p>
    <w:p w14:paraId="43CEDF4C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72594DA2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5.2</w:t>
      </w:r>
      <w:r w:rsidRPr="00831917">
        <w:rPr>
          <w:b/>
          <w:szCs w:val="22"/>
        </w:rPr>
        <w:tab/>
        <w:t>Farmakokinetikai tulajdonságok</w:t>
      </w:r>
    </w:p>
    <w:p w14:paraId="670436B0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</w:p>
    <w:p w14:paraId="27B2DB13" w14:textId="77777777" w:rsidR="005644C0" w:rsidRPr="00831917" w:rsidRDefault="005644C0" w:rsidP="00831917">
      <w:pPr>
        <w:keepNext/>
        <w:spacing w:line="240" w:lineRule="auto"/>
        <w:rPr>
          <w:bCs/>
          <w:iCs/>
          <w:szCs w:val="22"/>
          <w:u w:val="single"/>
        </w:rPr>
      </w:pPr>
      <w:r w:rsidRPr="00831917">
        <w:rPr>
          <w:bCs/>
          <w:iCs/>
          <w:szCs w:val="22"/>
          <w:u w:val="single"/>
        </w:rPr>
        <w:t>Felszívódás</w:t>
      </w:r>
    </w:p>
    <w:p w14:paraId="138B3947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5F21164F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cefuroxim</w:t>
      </w:r>
      <w:r w:rsidRPr="00831917">
        <w:rPr>
          <w:noProof/>
          <w:szCs w:val="22"/>
        </w:rPr>
        <w:noBreakHyphen/>
        <w:t>axetil oralis adagolást követően felszívódik a gyomor-béltraktusból, és gyorsan hidrolizálódik a bélnyálkahártyában, valamint a vérben, ezáltal cefuroxim kerül a keringésbe. Felszívódása akkor optimális, ha alkalmazására röviddel étkezés után kerül sor.</w:t>
      </w:r>
    </w:p>
    <w:p w14:paraId="1361B369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262C8D66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Cefuroxim</w:t>
      </w:r>
      <w:r w:rsidRPr="00831917">
        <w:rPr>
          <w:noProof/>
          <w:szCs w:val="22"/>
        </w:rPr>
        <w:noBreakHyphen/>
        <w:t>axetil tabletták alkalmazása esetében a plazma csúcskoncentráció (2,</w:t>
      </w:r>
      <w:r w:rsidR="003646DE" w:rsidRPr="00831917">
        <w:rPr>
          <w:noProof/>
          <w:szCs w:val="22"/>
        </w:rPr>
        <w:t>1 </w:t>
      </w:r>
      <w:r w:rsidR="00EA4E0F">
        <w:rPr>
          <w:noProof/>
          <w:szCs w:val="22"/>
        </w:rPr>
        <w:t>mikrogramm</w:t>
      </w:r>
      <w:r w:rsidRPr="00831917">
        <w:rPr>
          <w:noProof/>
          <w:szCs w:val="22"/>
        </w:rPr>
        <w:t>/ml a 125 mg</w:t>
      </w:r>
      <w:r w:rsidRPr="00831917">
        <w:rPr>
          <w:noProof/>
          <w:szCs w:val="22"/>
        </w:rPr>
        <w:noBreakHyphen/>
        <w:t>os dózis, 4,</w:t>
      </w:r>
      <w:r w:rsidR="003646DE" w:rsidRPr="00831917">
        <w:rPr>
          <w:noProof/>
          <w:szCs w:val="22"/>
        </w:rPr>
        <w:t>1 </w:t>
      </w:r>
      <w:r w:rsidR="00EA4E0F">
        <w:rPr>
          <w:noProof/>
          <w:szCs w:val="22"/>
        </w:rPr>
        <w:t>mikrogramm</w:t>
      </w:r>
      <w:r w:rsidRPr="00831917">
        <w:rPr>
          <w:noProof/>
          <w:szCs w:val="22"/>
        </w:rPr>
        <w:t>/ml a 250 mg</w:t>
      </w:r>
      <w:r w:rsidRPr="00831917">
        <w:rPr>
          <w:noProof/>
          <w:szCs w:val="22"/>
        </w:rPr>
        <w:noBreakHyphen/>
        <w:t>os dózis, 7,</w:t>
      </w:r>
      <w:r w:rsidR="003646DE" w:rsidRPr="00831917">
        <w:rPr>
          <w:noProof/>
          <w:szCs w:val="22"/>
        </w:rPr>
        <w:t>0</w:t>
      </w:r>
      <w:r w:rsidRPr="00831917">
        <w:rPr>
          <w:noProof/>
          <w:szCs w:val="22"/>
        </w:rPr>
        <w:t> </w:t>
      </w:r>
      <w:r w:rsidR="00EA4E0F">
        <w:rPr>
          <w:noProof/>
          <w:szCs w:val="22"/>
        </w:rPr>
        <w:t>mikrogramm</w:t>
      </w:r>
      <w:r w:rsidRPr="00831917">
        <w:rPr>
          <w:noProof/>
          <w:szCs w:val="22"/>
        </w:rPr>
        <w:t>/ml az 500 mg</w:t>
      </w:r>
      <w:r w:rsidRPr="00831917">
        <w:rPr>
          <w:noProof/>
          <w:szCs w:val="22"/>
        </w:rPr>
        <w:noBreakHyphen/>
        <w:t>os dózis és 13,6 </w:t>
      </w:r>
      <w:r w:rsidR="00EA4E0F">
        <w:rPr>
          <w:noProof/>
          <w:szCs w:val="22"/>
        </w:rPr>
        <w:t>mikrogramm</w:t>
      </w:r>
      <w:r w:rsidRPr="00831917">
        <w:rPr>
          <w:noProof/>
          <w:szCs w:val="22"/>
        </w:rPr>
        <w:t>/ml az 1000 mg</w:t>
      </w:r>
      <w:r w:rsidRPr="00831917">
        <w:rPr>
          <w:noProof/>
          <w:szCs w:val="22"/>
        </w:rPr>
        <w:noBreakHyphen/>
        <w:t>os dózis esetében) kb. 2</w:t>
      </w:r>
      <w:r w:rsidR="002B1EB3" w:rsidRPr="00831917">
        <w:rPr>
          <w:noProof/>
          <w:szCs w:val="22"/>
        </w:rPr>
        <w:noBreakHyphen/>
        <w:t>3</w:t>
      </w:r>
      <w:r w:rsidRPr="00831917">
        <w:rPr>
          <w:noProof/>
          <w:szCs w:val="22"/>
        </w:rPr>
        <w:t> órával a bevétel után alakul ki, ha erre étkezés közben kerül sor. A cefuroxim abszorpciós rátája a szuszpenzióból alacsonyabb a tablettához képest, ami később kialakuló, alacsonyabb szérum csúcskoncentrációt és (4</w:t>
      </w:r>
      <w:r w:rsidRPr="00831917">
        <w:rPr>
          <w:noProof/>
          <w:szCs w:val="22"/>
        </w:rPr>
        <w:noBreakHyphen/>
        <w:t>17%</w:t>
      </w:r>
      <w:r w:rsidRPr="00831917">
        <w:rPr>
          <w:noProof/>
          <w:szCs w:val="22"/>
        </w:rPr>
        <w:noBreakHyphen/>
        <w:t>kal) csökkent szisztémás biohasznosulást eredményez. A cefuroxim-axetil belsőleges szuszpenzió egészséges önkénteseken vizsgálva nem volt bioegyenértékű a cefuroxim-axetil tablettákkal, ezért nem helyettesíthetik egymást milligramm/milligramm alapon számítva (lásd 4.2 pont). A cefuroxim farmakokinetikája a 125</w:t>
      </w:r>
      <w:r w:rsidRPr="00831917">
        <w:rPr>
          <w:noProof/>
          <w:szCs w:val="22"/>
        </w:rPr>
        <w:noBreakHyphen/>
        <w:t>1000 mg</w:t>
      </w:r>
      <w:r w:rsidRPr="00831917">
        <w:rPr>
          <w:noProof/>
          <w:szCs w:val="22"/>
        </w:rPr>
        <w:noBreakHyphen/>
        <w:t>os dózistartományban lineáris. Nem fordult elő a cefuroxim felhalmozódása 250</w:t>
      </w:r>
      <w:r w:rsidR="00217CC7" w:rsidRPr="00831917">
        <w:rPr>
          <w:noProof/>
          <w:szCs w:val="22"/>
        </w:rPr>
        <w:noBreakHyphen/>
      </w:r>
      <w:r w:rsidRPr="00831917">
        <w:rPr>
          <w:noProof/>
          <w:szCs w:val="22"/>
        </w:rPr>
        <w:t>500</w:t>
      </w:r>
      <w:r w:rsidR="00217CC7" w:rsidRPr="00831917">
        <w:rPr>
          <w:noProof/>
          <w:szCs w:val="22"/>
        </w:rPr>
        <w:t> </w:t>
      </w:r>
      <w:r w:rsidRPr="00831917">
        <w:rPr>
          <w:noProof/>
          <w:szCs w:val="22"/>
        </w:rPr>
        <w:t>mg</w:t>
      </w:r>
      <w:r w:rsidRPr="00831917">
        <w:rPr>
          <w:noProof/>
          <w:szCs w:val="22"/>
        </w:rPr>
        <w:noBreakHyphen/>
        <w:t>os oralis dózisok ismételt adását követően.</w:t>
      </w:r>
    </w:p>
    <w:p w14:paraId="16395C1F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318FD17A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Eloszlás</w:t>
      </w:r>
    </w:p>
    <w:p w14:paraId="75640258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18BADFAF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fehérjekötődés mértékét az alkalmazott módszertől függően 33</w:t>
      </w:r>
      <w:r w:rsidRPr="00831917">
        <w:rPr>
          <w:noProof/>
          <w:szCs w:val="22"/>
        </w:rPr>
        <w:noBreakHyphen/>
        <w:t>50% között állapították meg. Az 500 mg</w:t>
      </w:r>
      <w:r w:rsidRPr="00831917">
        <w:rPr>
          <w:noProof/>
          <w:szCs w:val="22"/>
        </w:rPr>
        <w:noBreakHyphen/>
        <w:t>os cefuroxim</w:t>
      </w:r>
      <w:r w:rsidRPr="00831917">
        <w:rPr>
          <w:noProof/>
          <w:szCs w:val="22"/>
        </w:rPr>
        <w:noBreakHyphen/>
        <w:t>axetil tabletta 12 önkéntesnek történő egyszeri beadását követően a látszólagos megoszlási térfogat 50 l volt (CV% = 28%). A cefuroxim gyakori patogénekre nézve minimális gátló koncentráció feletti szintjét lehet elérni a tonsillákban, a sinus szövetekben, a bronchus nyálkahártyában, a csontban, a pleuralis folyadékban, az ízületi folyadékban, a synovialis folyadékban, az interstitialis folyadékban, az epében, a nyálban és a csarnokvízben. Meningitis esetén a cefuroxim átjut a vér</w:t>
      </w:r>
      <w:r w:rsidRPr="00831917">
        <w:rPr>
          <w:noProof/>
          <w:szCs w:val="22"/>
        </w:rPr>
        <w:noBreakHyphen/>
        <w:t>agy gáton.</w:t>
      </w:r>
    </w:p>
    <w:p w14:paraId="5423FDD6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03CDDC9A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Biotranszformáció</w:t>
      </w:r>
    </w:p>
    <w:p w14:paraId="0B94BBF7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63FBB929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cefuroxim nem metabolizálódik.</w:t>
      </w:r>
    </w:p>
    <w:p w14:paraId="4AFB5035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2640D3D4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Elimináció</w:t>
      </w:r>
    </w:p>
    <w:p w14:paraId="200B25F0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66BB2B52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szérum felezési idő 1</w:t>
      </w:r>
      <w:r w:rsidRPr="00831917">
        <w:rPr>
          <w:noProof/>
          <w:szCs w:val="22"/>
        </w:rPr>
        <w:noBreakHyphen/>
        <w:t>1,5 óra között van. A cefuroxim glomerularis filtrációval és tubularis szekrécióval választódik ki. A vese clearance értéke a 125</w:t>
      </w:r>
      <w:r w:rsidRPr="00831917">
        <w:rPr>
          <w:noProof/>
          <w:szCs w:val="22"/>
        </w:rPr>
        <w:noBreakHyphen/>
        <w:t>148 ml/perc/1,73 m</w:t>
      </w:r>
      <w:r w:rsidRPr="00831917">
        <w:rPr>
          <w:noProof/>
          <w:szCs w:val="22"/>
          <w:vertAlign w:val="superscript"/>
        </w:rPr>
        <w:t>2</w:t>
      </w:r>
      <w:r w:rsidRPr="00831917">
        <w:rPr>
          <w:noProof/>
          <w:szCs w:val="22"/>
        </w:rPr>
        <w:t xml:space="preserve"> tartományban található. </w:t>
      </w:r>
    </w:p>
    <w:p w14:paraId="3579DF67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1F7C3A80" w14:textId="30AD3326" w:rsidR="005644C0" w:rsidRPr="00831917" w:rsidRDefault="002D0BD5" w:rsidP="00831917">
      <w:pPr>
        <w:keepNext/>
        <w:spacing w:line="240" w:lineRule="auto"/>
        <w:rPr>
          <w:b/>
          <w:i/>
          <w:noProof/>
          <w:szCs w:val="22"/>
          <w:u w:val="single"/>
        </w:rPr>
      </w:pPr>
      <w:r>
        <w:rPr>
          <w:b/>
          <w:i/>
          <w:szCs w:val="22"/>
          <w:u w:val="single"/>
        </w:rPr>
        <w:lastRenderedPageBreak/>
        <w:t>Különleges</w:t>
      </w:r>
      <w:r w:rsidRPr="00831917">
        <w:rPr>
          <w:b/>
          <w:i/>
          <w:szCs w:val="22"/>
          <w:u w:val="single"/>
        </w:rPr>
        <w:t xml:space="preserve"> </w:t>
      </w:r>
      <w:r w:rsidR="005644C0" w:rsidRPr="00831917">
        <w:rPr>
          <w:b/>
          <w:i/>
          <w:szCs w:val="22"/>
          <w:u w:val="single"/>
        </w:rPr>
        <w:t>betegcsoportok</w:t>
      </w:r>
    </w:p>
    <w:p w14:paraId="7BDD104C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6AC71E9B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Nem</w:t>
      </w:r>
    </w:p>
    <w:p w14:paraId="73EE08D5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0DD5BC35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Nem figyeltek meg különbségeket a cefuroxim farmakokinetikájában férfiaknál és a nőknél.</w:t>
      </w:r>
    </w:p>
    <w:p w14:paraId="5BA1F539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6F497FD8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Időskor</w:t>
      </w:r>
    </w:p>
    <w:p w14:paraId="71BA7023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186CD37F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Normális vesefunkciójú idős betegeknél a legfeljebb napi 1 g</w:t>
      </w:r>
      <w:r w:rsidRPr="00831917">
        <w:rPr>
          <w:noProof/>
          <w:szCs w:val="22"/>
        </w:rPr>
        <w:noBreakHyphen/>
        <w:t>os szokásos legnagyobb dózisig terjedő adagolásnál nincs szükség fokozott elővigyázatosságra. Az idős betegeknél valószínűbb a csökkent vesefunkció előfordulása, ezért időskorban az adagot a vesefunkciónak megfelelően kell módosítani (lásd 4.2 pont).</w:t>
      </w:r>
    </w:p>
    <w:p w14:paraId="21FA6E74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</w:p>
    <w:p w14:paraId="1F6C1E47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Gyermekek</w:t>
      </w:r>
      <w:r w:rsidR="003523FA" w:rsidRPr="00831917">
        <w:rPr>
          <w:noProof/>
          <w:szCs w:val="22"/>
          <w:u w:val="single"/>
        </w:rPr>
        <w:t xml:space="preserve"> és serdülők</w:t>
      </w:r>
      <w:r w:rsidR="00217CC7" w:rsidRPr="00831917">
        <w:rPr>
          <w:noProof/>
          <w:szCs w:val="22"/>
          <w:u w:val="single"/>
        </w:rPr>
        <w:t xml:space="preserve"> </w:t>
      </w:r>
    </w:p>
    <w:p w14:paraId="11D23DDF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499C50B4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Idősebb csecsemőknél (3 hónapos kor felett) és gyermekeknél a cefuroxim farmakokinetikája hasonló a felnőtteknél megfigyelthez.</w:t>
      </w:r>
    </w:p>
    <w:p w14:paraId="0CD0E82E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4567D792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Nem állnak rendelkezésre klinikai vizsgálati adatok a cefuroxim</w:t>
      </w:r>
      <w:r w:rsidRPr="00831917">
        <w:rPr>
          <w:noProof/>
          <w:szCs w:val="22"/>
        </w:rPr>
        <w:noBreakHyphen/>
        <w:t>axetil alkalmazásáról 3 hónaposnál fiatalabb gyermekeknél.</w:t>
      </w:r>
    </w:p>
    <w:p w14:paraId="3BC5D1FB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2F157123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Vesekárosodás</w:t>
      </w:r>
    </w:p>
    <w:p w14:paraId="64A21538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3914E674" w14:textId="487BB99B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A cefuroxim</w:t>
      </w:r>
      <w:r w:rsidRPr="00831917">
        <w:rPr>
          <w:noProof/>
          <w:szCs w:val="22"/>
        </w:rPr>
        <w:noBreakHyphen/>
        <w:t>axetil biztonságosságát és hatásosságát veseelégtelenségben szenvedő betegeknél nem igazolták. A</w:t>
      </w:r>
      <w:r w:rsidRPr="00831917">
        <w:rPr>
          <w:szCs w:val="22"/>
        </w:rPr>
        <w:t xml:space="preserve"> cefuroxim elsősorban a veséken keresztül választódik ki</w:t>
      </w:r>
      <w:r w:rsidRPr="00831917">
        <w:rPr>
          <w:noProof/>
          <w:szCs w:val="22"/>
        </w:rPr>
        <w:t>. Ezért, mint minden ilyen antibiotikum esetében, jelentősen károsodott vesefunkciójú betegeknél (</w:t>
      </w:r>
      <w:r w:rsidR="00A43431">
        <w:rPr>
          <w:noProof/>
          <w:szCs w:val="22"/>
        </w:rPr>
        <w:t>azaz</w:t>
      </w:r>
      <w:r w:rsidRPr="00831917">
        <w:rPr>
          <w:noProof/>
          <w:szCs w:val="22"/>
        </w:rPr>
        <w:t xml:space="preserve"> Cl</w:t>
      </w:r>
      <w:r w:rsidRPr="00831917">
        <w:rPr>
          <w:noProof/>
          <w:szCs w:val="22"/>
          <w:vertAlign w:val="subscript"/>
        </w:rPr>
        <w:t>cr</w:t>
      </w:r>
      <w:r w:rsidRPr="00831917">
        <w:rPr>
          <w:noProof/>
          <w:szCs w:val="22"/>
        </w:rPr>
        <w:t xml:space="preserve"> &lt; 30 ml/perc) ajánlott a cefuroxim adagjának csökkentése, a lassúbb kiürülés kompenzációja érdekében (lásd 4.2 pont). A cefuroxim hatásosan eltávolítható dialízissel.</w:t>
      </w:r>
    </w:p>
    <w:p w14:paraId="71D9B333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47BC9B2C" w14:textId="77777777" w:rsidR="005644C0" w:rsidRPr="00831917" w:rsidRDefault="005644C0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Májkárosodás</w:t>
      </w:r>
    </w:p>
    <w:p w14:paraId="2999B357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</w:p>
    <w:p w14:paraId="0881C79B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>Májkárosodásban szenvedő betegekre vonatkozóan nem állnak rendelkezésre adatok. Mivel a cefuroximot elsősorban a vesék eliminálják, a májműködés zavarának várhatóan nincs hatása a cefuroxim farmakokinetikájára.</w:t>
      </w:r>
    </w:p>
    <w:p w14:paraId="75D34538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5137339" w14:textId="77777777" w:rsidR="000C731A" w:rsidRPr="00831917" w:rsidRDefault="000C731A" w:rsidP="00831917">
      <w:pPr>
        <w:keepNext/>
        <w:spacing w:line="240" w:lineRule="auto"/>
        <w:rPr>
          <w:noProof/>
          <w:szCs w:val="22"/>
          <w:u w:val="single"/>
        </w:rPr>
      </w:pPr>
      <w:r w:rsidRPr="00831917">
        <w:rPr>
          <w:noProof/>
          <w:szCs w:val="22"/>
          <w:u w:val="single"/>
        </w:rPr>
        <w:t>Farmakokinetikai/farmakodinamikai összefüggések</w:t>
      </w:r>
    </w:p>
    <w:p w14:paraId="1638318B" w14:textId="77777777" w:rsidR="005644C0" w:rsidRPr="00831917" w:rsidRDefault="005644C0" w:rsidP="00831917">
      <w:pPr>
        <w:keepNext/>
        <w:spacing w:line="240" w:lineRule="auto"/>
        <w:rPr>
          <w:noProof/>
          <w:szCs w:val="22"/>
        </w:rPr>
      </w:pPr>
      <w:r w:rsidRPr="00831917">
        <w:rPr>
          <w:noProof/>
          <w:szCs w:val="22"/>
        </w:rPr>
        <w:t xml:space="preserve">Kimutatták, hogy cefalosporinok esetében az </w:t>
      </w:r>
      <w:r w:rsidRPr="00831917">
        <w:rPr>
          <w:i/>
          <w:noProof/>
          <w:szCs w:val="22"/>
        </w:rPr>
        <w:t>in vivo</w:t>
      </w:r>
      <w:r w:rsidRPr="00831917">
        <w:rPr>
          <w:noProof/>
          <w:szCs w:val="22"/>
        </w:rPr>
        <w:t xml:space="preserve"> hatásossággal korreláló legfontosabb farmakokinetikai-farmakodinámiás index az adagolási intervallum azon részének százalékos aránya (%T), amellyel az egyes célfajok esetében a meg nem kötött hatóanyag koncentrációja meghaladja a cefuroxim minimális gátló koncentrációját (MIC), azaz %T &gt; MIC.</w:t>
      </w:r>
    </w:p>
    <w:p w14:paraId="04D16130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6F8A310C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5.3</w:t>
      </w:r>
      <w:r w:rsidRPr="00831917">
        <w:rPr>
          <w:b/>
          <w:szCs w:val="22"/>
        </w:rPr>
        <w:tab/>
        <w:t>A preklinikai biztonságossági vizsgálatok eredményei</w:t>
      </w:r>
    </w:p>
    <w:p w14:paraId="2388858F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4ECC04E6" w14:textId="1988CC5C" w:rsidR="00A43431" w:rsidRPr="00CF6B6C" w:rsidRDefault="005644C0" w:rsidP="00A43431">
      <w:pPr>
        <w:pStyle w:val="Jegyzetszveg"/>
        <w:rPr>
          <w:sz w:val="22"/>
          <w:szCs w:val="22"/>
          <w:lang w:val="hu-HU"/>
        </w:rPr>
      </w:pPr>
      <w:r w:rsidRPr="00CF6B6C">
        <w:rPr>
          <w:sz w:val="22"/>
          <w:szCs w:val="22"/>
        </w:rPr>
        <w:t xml:space="preserve">A </w:t>
      </w:r>
      <w:r w:rsidR="00217CC7" w:rsidRPr="00CF6B6C">
        <w:rPr>
          <w:sz w:val="22"/>
          <w:szCs w:val="22"/>
        </w:rPr>
        <w:t xml:space="preserve">farmakológiai </w:t>
      </w:r>
      <w:r w:rsidRPr="00CF6B6C">
        <w:rPr>
          <w:sz w:val="22"/>
          <w:szCs w:val="22"/>
        </w:rPr>
        <w:t xml:space="preserve">biztonságossági, ismételt </w:t>
      </w:r>
      <w:r w:rsidR="003523FA" w:rsidRPr="00CF6B6C">
        <w:rPr>
          <w:sz w:val="22"/>
          <w:szCs w:val="22"/>
        </w:rPr>
        <w:t xml:space="preserve">adagolású </w:t>
      </w:r>
      <w:r w:rsidRPr="00CF6B6C">
        <w:rPr>
          <w:sz w:val="22"/>
          <w:szCs w:val="22"/>
        </w:rPr>
        <w:t>dózistoxicitási, genotoxicitási, reprodukció</w:t>
      </w:r>
      <w:r w:rsidRPr="00CF6B6C">
        <w:rPr>
          <w:noProof/>
          <w:sz w:val="22"/>
          <w:szCs w:val="22"/>
        </w:rPr>
        <w:t>ra, és fejlődésre kifejtett</w:t>
      </w:r>
      <w:r w:rsidRPr="00CF6B6C">
        <w:rPr>
          <w:sz w:val="22"/>
          <w:szCs w:val="22"/>
        </w:rPr>
        <w:t xml:space="preserve"> toxicitási </w:t>
      </w:r>
      <w:r w:rsidRPr="00CF6B6C">
        <w:rPr>
          <w:noProof/>
          <w:sz w:val="22"/>
          <w:szCs w:val="22"/>
        </w:rPr>
        <w:t xml:space="preserve">vizsgálatokból származó nem klinikai jellegű adatok </w:t>
      </w:r>
      <w:r w:rsidRPr="00CF6B6C">
        <w:rPr>
          <w:sz w:val="22"/>
          <w:szCs w:val="22"/>
        </w:rPr>
        <w:t xml:space="preserve">azt igazolták, hogy a készítmény </w:t>
      </w:r>
      <w:r w:rsidR="00217CC7" w:rsidRPr="00CF6B6C">
        <w:rPr>
          <w:noProof/>
          <w:sz w:val="22"/>
          <w:szCs w:val="22"/>
        </w:rPr>
        <w:t>alkalmazásakor humán vonatkozásban különleges kockázat nem várható</w:t>
      </w:r>
      <w:r w:rsidRPr="00CF6B6C">
        <w:rPr>
          <w:sz w:val="22"/>
          <w:szCs w:val="22"/>
        </w:rPr>
        <w:t>. Karcinogenitási vizsgálatokat nem végeztek; mindazonáltal nincs</w:t>
      </w:r>
      <w:r w:rsidR="00A43431" w:rsidRPr="00CF6B6C">
        <w:rPr>
          <w:sz w:val="22"/>
          <w:szCs w:val="22"/>
          <w:lang w:val="hu-HU"/>
        </w:rPr>
        <w:t xml:space="preserve"> nincs karcinogenitási potenciálra utaló bizonyíték.</w:t>
      </w:r>
    </w:p>
    <w:p w14:paraId="47787D84" w14:textId="3014A0FE" w:rsidR="005644C0" w:rsidRPr="007D5963" w:rsidRDefault="005644C0" w:rsidP="00831917">
      <w:pPr>
        <w:keepNext/>
        <w:spacing w:line="240" w:lineRule="auto"/>
        <w:rPr>
          <w:szCs w:val="22"/>
        </w:rPr>
      </w:pPr>
    </w:p>
    <w:p w14:paraId="7473FE20" w14:textId="77777777" w:rsidR="005644C0" w:rsidRPr="00831917" w:rsidRDefault="005644C0" w:rsidP="00831917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20E91547" w14:textId="77777777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Patkány vizeletben különböző cefalosporinok gátolják a gamma-glutamil-transzpeptidáz aktivitást, azonban a gátlóhatás mértéke cefuroximmal alacsonyabb. Ennek jelentősége lehet a humán klinikai laboratóriumi vizsgálatokra gyakorolt hatás szempontjából.</w:t>
      </w:r>
    </w:p>
    <w:p w14:paraId="28E1FDD1" w14:textId="77777777" w:rsidR="005644C0" w:rsidRPr="00831917" w:rsidRDefault="005644C0" w:rsidP="00831917">
      <w:pPr>
        <w:spacing w:line="240" w:lineRule="auto"/>
        <w:rPr>
          <w:noProof/>
          <w:szCs w:val="22"/>
        </w:rPr>
      </w:pPr>
    </w:p>
    <w:p w14:paraId="00D2F72C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86107F6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lastRenderedPageBreak/>
        <w:t>6.</w:t>
      </w:r>
      <w:r w:rsidRPr="00831917">
        <w:rPr>
          <w:b/>
          <w:szCs w:val="22"/>
        </w:rPr>
        <w:tab/>
        <w:t>GYÓGYSZERÉSZETI JELLEMZŐK</w:t>
      </w:r>
    </w:p>
    <w:p w14:paraId="7D7B2BF3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79520ECC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6.1</w:t>
      </w:r>
      <w:r w:rsidRPr="00831917">
        <w:rPr>
          <w:b/>
          <w:szCs w:val="22"/>
        </w:rPr>
        <w:tab/>
        <w:t>Segédanyagok felsorolása</w:t>
      </w:r>
    </w:p>
    <w:p w14:paraId="5C0E9C52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315FE1E1" w14:textId="7811D052" w:rsidR="00E607D7" w:rsidRPr="00CF6B6C" w:rsidRDefault="00E607D7" w:rsidP="00E607D7">
      <w:pPr>
        <w:keepNext/>
        <w:spacing w:line="240" w:lineRule="auto"/>
        <w:rPr>
          <w:szCs w:val="22"/>
          <w:u w:val="single"/>
        </w:rPr>
      </w:pPr>
      <w:r w:rsidRPr="00CF6B6C">
        <w:rPr>
          <w:szCs w:val="22"/>
          <w:u w:val="single"/>
        </w:rPr>
        <w:t>Zinnat 125 mg filmtabletta</w:t>
      </w:r>
    </w:p>
    <w:p w14:paraId="46693A46" w14:textId="77777777" w:rsidR="00E607D7" w:rsidRPr="00CF6B6C" w:rsidRDefault="00E607D7" w:rsidP="00E607D7">
      <w:pPr>
        <w:spacing w:line="240" w:lineRule="auto"/>
        <w:rPr>
          <w:szCs w:val="22"/>
          <w:u w:val="single"/>
        </w:rPr>
      </w:pPr>
      <w:r w:rsidRPr="00CF6B6C">
        <w:rPr>
          <w:szCs w:val="22"/>
          <w:u w:val="single"/>
        </w:rPr>
        <w:t>Zinnat 250 mg filmtabletta</w:t>
      </w:r>
    </w:p>
    <w:p w14:paraId="4DED587C" w14:textId="6EA881F9" w:rsidR="00E607D7" w:rsidRDefault="00E607D7" w:rsidP="00E607D7">
      <w:pPr>
        <w:spacing w:line="240" w:lineRule="auto"/>
        <w:rPr>
          <w:szCs w:val="22"/>
          <w:u w:val="single"/>
        </w:rPr>
      </w:pPr>
      <w:r w:rsidRPr="00CF6B6C">
        <w:rPr>
          <w:szCs w:val="22"/>
          <w:u w:val="single"/>
        </w:rPr>
        <w:t>Zinnat 500 mg filmtabletta</w:t>
      </w:r>
    </w:p>
    <w:p w14:paraId="518F13E2" w14:textId="77777777" w:rsidR="00E607D7" w:rsidRPr="00CF6B6C" w:rsidRDefault="00E607D7" w:rsidP="00E607D7">
      <w:pPr>
        <w:spacing w:line="240" w:lineRule="auto"/>
        <w:rPr>
          <w:szCs w:val="22"/>
          <w:u w:val="single"/>
        </w:rPr>
      </w:pPr>
    </w:p>
    <w:p w14:paraId="124064ED" w14:textId="5E71DFD6" w:rsidR="00E607D7" w:rsidRPr="00697381" w:rsidRDefault="00E607D7" w:rsidP="005105D4">
      <w:pPr>
        <w:spacing w:line="240" w:lineRule="auto"/>
        <w:ind w:left="-15"/>
        <w:rPr>
          <w:i/>
          <w:szCs w:val="22"/>
        </w:rPr>
      </w:pPr>
      <w:r w:rsidRPr="00697381">
        <w:rPr>
          <w:i/>
          <w:szCs w:val="22"/>
        </w:rPr>
        <w:t>Mag</w:t>
      </w:r>
    </w:p>
    <w:p w14:paraId="2A9F01E4" w14:textId="4EADD735" w:rsidR="00400330" w:rsidRPr="00E607D7" w:rsidRDefault="000838B7" w:rsidP="005105D4">
      <w:pPr>
        <w:spacing w:line="240" w:lineRule="auto"/>
        <w:ind w:left="-15"/>
        <w:rPr>
          <w:szCs w:val="22"/>
        </w:rPr>
      </w:pPr>
      <w:r>
        <w:rPr>
          <w:szCs w:val="22"/>
        </w:rPr>
        <w:t>m</w:t>
      </w:r>
      <w:r w:rsidR="00400330" w:rsidRPr="00E607D7">
        <w:rPr>
          <w:szCs w:val="22"/>
        </w:rPr>
        <w:t>ikrokristályos cellulóz</w:t>
      </w:r>
    </w:p>
    <w:p w14:paraId="664743FD" w14:textId="7E25FBBE" w:rsidR="00400330" w:rsidRPr="00E607D7" w:rsidRDefault="000838B7" w:rsidP="00CF6B6C">
      <w:pPr>
        <w:spacing w:line="240" w:lineRule="auto"/>
        <w:ind w:left="-15"/>
        <w:rPr>
          <w:szCs w:val="22"/>
        </w:rPr>
      </w:pPr>
      <w:r>
        <w:rPr>
          <w:szCs w:val="22"/>
        </w:rPr>
        <w:t>n</w:t>
      </w:r>
      <w:r w:rsidR="00400330" w:rsidRPr="00CF6B6C">
        <w:rPr>
          <w:szCs w:val="22"/>
        </w:rPr>
        <w:t>átrium-lauril-szulfát</w:t>
      </w:r>
    </w:p>
    <w:p w14:paraId="71923CC8" w14:textId="1237B305" w:rsidR="0034595F" w:rsidRPr="00E607D7" w:rsidRDefault="000838B7" w:rsidP="005105D4">
      <w:pPr>
        <w:spacing w:line="240" w:lineRule="auto"/>
        <w:ind w:left="-15"/>
        <w:rPr>
          <w:szCs w:val="22"/>
        </w:rPr>
      </w:pPr>
      <w:r>
        <w:rPr>
          <w:szCs w:val="22"/>
        </w:rPr>
        <w:t>k</w:t>
      </w:r>
      <w:r w:rsidR="0034595F" w:rsidRPr="00E607D7">
        <w:rPr>
          <w:szCs w:val="22"/>
        </w:rPr>
        <w:t>roszkarmellóz nátrium</w:t>
      </w:r>
    </w:p>
    <w:p w14:paraId="445C6ED5" w14:textId="7DDB7831" w:rsidR="009512DA" w:rsidRPr="00E607D7" w:rsidRDefault="000838B7" w:rsidP="00CF6B6C">
      <w:pPr>
        <w:spacing w:line="240" w:lineRule="auto"/>
        <w:ind w:left="-15"/>
        <w:rPr>
          <w:szCs w:val="22"/>
        </w:rPr>
      </w:pPr>
      <w:r>
        <w:rPr>
          <w:szCs w:val="22"/>
        </w:rPr>
        <w:t>h</w:t>
      </w:r>
      <w:r w:rsidR="009512DA" w:rsidRPr="00E607D7">
        <w:rPr>
          <w:szCs w:val="22"/>
        </w:rPr>
        <w:t>idrogénezett növényi olaj</w:t>
      </w:r>
    </w:p>
    <w:p w14:paraId="6E794E9C" w14:textId="679EE489" w:rsidR="00322158" w:rsidRDefault="000838B7" w:rsidP="00831917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E607D7" w:rsidRPr="00E607D7">
        <w:rPr>
          <w:szCs w:val="22"/>
        </w:rPr>
        <w:t>ízmentes k</w:t>
      </w:r>
      <w:r w:rsidR="00632EFA" w:rsidRPr="00E607D7">
        <w:rPr>
          <w:szCs w:val="22"/>
        </w:rPr>
        <w:t>olloid szilícium-dioxid</w:t>
      </w:r>
    </w:p>
    <w:p w14:paraId="0B1BC472" w14:textId="41FCA996" w:rsidR="00E607D7" w:rsidRDefault="00E607D7" w:rsidP="00831917">
      <w:pPr>
        <w:spacing w:line="240" w:lineRule="auto"/>
        <w:rPr>
          <w:szCs w:val="22"/>
        </w:rPr>
      </w:pPr>
    </w:p>
    <w:p w14:paraId="1502A793" w14:textId="455DE53F" w:rsidR="00E607D7" w:rsidRPr="00697381" w:rsidRDefault="00E607D7" w:rsidP="00831917">
      <w:pPr>
        <w:spacing w:line="240" w:lineRule="auto"/>
        <w:rPr>
          <w:i/>
          <w:szCs w:val="22"/>
        </w:rPr>
      </w:pPr>
      <w:r w:rsidRPr="00697381">
        <w:rPr>
          <w:i/>
          <w:szCs w:val="22"/>
        </w:rPr>
        <w:t>Filmbevonat</w:t>
      </w:r>
    </w:p>
    <w:p w14:paraId="39474ABD" w14:textId="55B25BF9" w:rsidR="005A5841" w:rsidRPr="005105D4" w:rsidRDefault="000838B7" w:rsidP="00831917">
      <w:pPr>
        <w:keepNext/>
        <w:spacing w:line="240" w:lineRule="auto"/>
        <w:rPr>
          <w:szCs w:val="22"/>
        </w:rPr>
      </w:pPr>
      <w:r>
        <w:rPr>
          <w:szCs w:val="22"/>
        </w:rPr>
        <w:t>h</w:t>
      </w:r>
      <w:r w:rsidR="005A5841" w:rsidRPr="005105D4">
        <w:rPr>
          <w:szCs w:val="22"/>
        </w:rPr>
        <w:t>ipromellóz</w:t>
      </w:r>
    </w:p>
    <w:p w14:paraId="79312FF2" w14:textId="367F3121" w:rsidR="005A5841" w:rsidRPr="005105D4" w:rsidRDefault="000838B7" w:rsidP="00831917">
      <w:pPr>
        <w:keepNext/>
        <w:spacing w:line="240" w:lineRule="auto"/>
        <w:rPr>
          <w:szCs w:val="22"/>
        </w:rPr>
      </w:pPr>
      <w:r>
        <w:rPr>
          <w:szCs w:val="22"/>
        </w:rPr>
        <w:t>p</w:t>
      </w:r>
      <w:r w:rsidR="005A5841" w:rsidRPr="005105D4">
        <w:rPr>
          <w:szCs w:val="22"/>
        </w:rPr>
        <w:t>ropilénglikol</w:t>
      </w:r>
    </w:p>
    <w:p w14:paraId="769EF942" w14:textId="49738FE8" w:rsidR="00322158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Opaspray white M-1-7120</w:t>
      </w:r>
      <w:r w:rsidR="00DA0118" w:rsidRPr="00831917">
        <w:rPr>
          <w:szCs w:val="22"/>
        </w:rPr>
        <w:t> </w:t>
      </w:r>
      <w:r w:rsidRPr="00831917">
        <w:rPr>
          <w:szCs w:val="22"/>
        </w:rPr>
        <w:t>J</w:t>
      </w:r>
      <w:r w:rsidR="005A5841">
        <w:rPr>
          <w:szCs w:val="22"/>
        </w:rPr>
        <w:t xml:space="preserve"> (</w:t>
      </w:r>
      <w:r w:rsidR="00A43431">
        <w:rPr>
          <w:szCs w:val="22"/>
        </w:rPr>
        <w:t xml:space="preserve">tartalmaz </w:t>
      </w:r>
      <w:r w:rsidR="005A5841">
        <w:rPr>
          <w:szCs w:val="22"/>
        </w:rPr>
        <w:t xml:space="preserve">titán-dioxidot </w:t>
      </w:r>
      <w:r w:rsidR="0017599F">
        <w:rPr>
          <w:szCs w:val="22"/>
        </w:rPr>
        <w:t>[</w:t>
      </w:r>
      <w:r w:rsidR="005A5841">
        <w:rPr>
          <w:szCs w:val="22"/>
        </w:rPr>
        <w:t>E171</w:t>
      </w:r>
      <w:r w:rsidR="0017599F">
        <w:rPr>
          <w:szCs w:val="22"/>
        </w:rPr>
        <w:t>]</w:t>
      </w:r>
      <w:r w:rsidR="00E607D7">
        <w:rPr>
          <w:szCs w:val="22"/>
        </w:rPr>
        <w:t xml:space="preserve"> és</w:t>
      </w:r>
      <w:r w:rsidR="005A5841">
        <w:rPr>
          <w:szCs w:val="22"/>
        </w:rPr>
        <w:t xml:space="preserve"> nátrium-benzoátot </w:t>
      </w:r>
      <w:r w:rsidR="0017599F">
        <w:rPr>
          <w:szCs w:val="22"/>
        </w:rPr>
        <w:t>[</w:t>
      </w:r>
      <w:r w:rsidR="005A5841">
        <w:rPr>
          <w:szCs w:val="22"/>
        </w:rPr>
        <w:t>E211</w:t>
      </w:r>
      <w:r w:rsidR="0017599F">
        <w:rPr>
          <w:szCs w:val="22"/>
        </w:rPr>
        <w:t>]</w:t>
      </w:r>
      <w:r w:rsidR="005A5841">
        <w:rPr>
          <w:szCs w:val="22"/>
        </w:rPr>
        <w:t>)</w:t>
      </w:r>
    </w:p>
    <w:p w14:paraId="2155DAB4" w14:textId="77777777" w:rsidR="00632EFA" w:rsidRPr="00CF6B6C" w:rsidRDefault="00632EFA" w:rsidP="00831917">
      <w:pPr>
        <w:spacing w:line="240" w:lineRule="auto"/>
        <w:rPr>
          <w:b/>
        </w:rPr>
      </w:pPr>
    </w:p>
    <w:p w14:paraId="75B3E3E2" w14:textId="09B76E73" w:rsidR="00632EFA" w:rsidRPr="00697381" w:rsidRDefault="00632EFA" w:rsidP="00831917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 xml:space="preserve">Zinnat 125 mg/5 ml </w:t>
      </w:r>
      <w:r w:rsidR="005A0A8F" w:rsidRPr="00697381">
        <w:rPr>
          <w:szCs w:val="22"/>
          <w:u w:val="single"/>
        </w:rPr>
        <w:t xml:space="preserve">granulátum </w:t>
      </w:r>
      <w:r w:rsidR="005A5841" w:rsidRPr="00697381">
        <w:rPr>
          <w:szCs w:val="22"/>
          <w:u w:val="single"/>
        </w:rPr>
        <w:t>belsőleges szuszpenzióhoz</w:t>
      </w:r>
      <w:r w:rsidRPr="00697381">
        <w:rPr>
          <w:szCs w:val="22"/>
          <w:u w:val="single"/>
        </w:rPr>
        <w:t xml:space="preserve"> </w:t>
      </w:r>
    </w:p>
    <w:p w14:paraId="48383234" w14:textId="716493E4" w:rsidR="005A5841" w:rsidRDefault="000838B7" w:rsidP="00831917">
      <w:pPr>
        <w:keepNext/>
        <w:spacing w:line="240" w:lineRule="auto"/>
        <w:rPr>
          <w:szCs w:val="22"/>
        </w:rPr>
      </w:pPr>
      <w:r>
        <w:rPr>
          <w:szCs w:val="22"/>
        </w:rPr>
        <w:t>a</w:t>
      </w:r>
      <w:r w:rsidR="005A5841" w:rsidRPr="00831917">
        <w:rPr>
          <w:szCs w:val="22"/>
        </w:rPr>
        <w:t xml:space="preserve">szpartám </w:t>
      </w:r>
      <w:r w:rsidR="006E6E19">
        <w:rPr>
          <w:szCs w:val="22"/>
        </w:rPr>
        <w:t>(E951)</w:t>
      </w:r>
    </w:p>
    <w:p w14:paraId="113A53A9" w14:textId="3A8A7F26" w:rsidR="00322158" w:rsidRDefault="000838B7" w:rsidP="00831917">
      <w:pPr>
        <w:keepNext/>
        <w:spacing w:line="240" w:lineRule="auto"/>
        <w:rPr>
          <w:szCs w:val="22"/>
        </w:rPr>
      </w:pPr>
      <w:r>
        <w:rPr>
          <w:szCs w:val="22"/>
        </w:rPr>
        <w:t>x</w:t>
      </w:r>
      <w:r w:rsidR="00632EFA" w:rsidRPr="00831917">
        <w:rPr>
          <w:szCs w:val="22"/>
        </w:rPr>
        <w:t>antán gumi</w:t>
      </w:r>
    </w:p>
    <w:p w14:paraId="61269444" w14:textId="6E3CAF3E" w:rsidR="005A5841" w:rsidRPr="00831917" w:rsidRDefault="000838B7" w:rsidP="00CF6B6C">
      <w:pPr>
        <w:keepNext/>
        <w:spacing w:line="240" w:lineRule="auto"/>
        <w:rPr>
          <w:szCs w:val="22"/>
        </w:rPr>
      </w:pPr>
      <w:r>
        <w:rPr>
          <w:szCs w:val="22"/>
        </w:rPr>
        <w:t>a</w:t>
      </w:r>
      <w:r w:rsidR="005A5841" w:rsidRPr="00831917">
        <w:rPr>
          <w:szCs w:val="22"/>
        </w:rPr>
        <w:t>ceszulfám-kálium</w:t>
      </w:r>
      <w:r w:rsidR="00C30FC5">
        <w:rPr>
          <w:szCs w:val="22"/>
        </w:rPr>
        <w:t xml:space="preserve"> (E950)</w:t>
      </w:r>
    </w:p>
    <w:p w14:paraId="05A825EF" w14:textId="291BC095" w:rsidR="00322158" w:rsidRDefault="000838B7" w:rsidP="00831917">
      <w:pPr>
        <w:spacing w:line="240" w:lineRule="auto"/>
        <w:rPr>
          <w:szCs w:val="22"/>
        </w:rPr>
      </w:pPr>
      <w:r>
        <w:rPr>
          <w:szCs w:val="22"/>
        </w:rPr>
        <w:t>p</w:t>
      </w:r>
      <w:r w:rsidR="00632EFA" w:rsidRPr="00831917">
        <w:rPr>
          <w:szCs w:val="22"/>
        </w:rPr>
        <w:t>ovidon</w:t>
      </w:r>
      <w:r w:rsidR="00322158" w:rsidRPr="00831917">
        <w:rPr>
          <w:szCs w:val="22"/>
        </w:rPr>
        <w:t xml:space="preserve"> K30</w:t>
      </w:r>
    </w:p>
    <w:p w14:paraId="7D3C220C" w14:textId="28B7CCB4" w:rsidR="005A5841" w:rsidRDefault="000838B7" w:rsidP="00831917">
      <w:pPr>
        <w:spacing w:line="240" w:lineRule="auto"/>
        <w:rPr>
          <w:szCs w:val="22"/>
        </w:rPr>
      </w:pPr>
      <w:r>
        <w:rPr>
          <w:szCs w:val="22"/>
        </w:rPr>
        <w:t>s</w:t>
      </w:r>
      <w:r w:rsidR="005A5841" w:rsidRPr="00831917">
        <w:rPr>
          <w:szCs w:val="22"/>
        </w:rPr>
        <w:t>ztearinsav</w:t>
      </w:r>
    </w:p>
    <w:p w14:paraId="38731C9C" w14:textId="2E34CE30" w:rsidR="005A5841" w:rsidRPr="00831917" w:rsidRDefault="000838B7" w:rsidP="00831917">
      <w:pPr>
        <w:spacing w:line="240" w:lineRule="auto"/>
        <w:rPr>
          <w:szCs w:val="22"/>
        </w:rPr>
      </w:pPr>
      <w:r>
        <w:rPr>
          <w:szCs w:val="22"/>
        </w:rPr>
        <w:t>s</w:t>
      </w:r>
      <w:r w:rsidR="005A5841" w:rsidRPr="00831917">
        <w:rPr>
          <w:szCs w:val="22"/>
        </w:rPr>
        <w:t>zacharóz</w:t>
      </w:r>
    </w:p>
    <w:p w14:paraId="2FD93C6A" w14:textId="47995923" w:rsidR="006B536D" w:rsidRDefault="005A5841" w:rsidP="006B536D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632EFA" w:rsidRPr="00831917">
        <w:rPr>
          <w:szCs w:val="22"/>
        </w:rPr>
        <w:t>utti-frutti aroma</w:t>
      </w:r>
      <w:r w:rsidR="00665048">
        <w:rPr>
          <w:szCs w:val="22"/>
        </w:rPr>
        <w:t xml:space="preserve"> </w:t>
      </w:r>
      <w:r w:rsidR="00F32292">
        <w:rPr>
          <w:szCs w:val="22"/>
        </w:rPr>
        <w:t>(</w:t>
      </w:r>
      <w:r w:rsidR="00A43431">
        <w:rPr>
          <w:szCs w:val="22"/>
        </w:rPr>
        <w:t xml:space="preserve">tartalmaz </w:t>
      </w:r>
      <w:r w:rsidR="00665048">
        <w:rPr>
          <w:szCs w:val="22"/>
        </w:rPr>
        <w:t xml:space="preserve">propilénglikolt </w:t>
      </w:r>
      <w:r w:rsidR="0017599F">
        <w:rPr>
          <w:szCs w:val="22"/>
        </w:rPr>
        <w:t>[</w:t>
      </w:r>
      <w:r w:rsidR="00665048">
        <w:rPr>
          <w:szCs w:val="22"/>
        </w:rPr>
        <w:t>E1520</w:t>
      </w:r>
      <w:r w:rsidR="0017599F">
        <w:rPr>
          <w:szCs w:val="22"/>
        </w:rPr>
        <w:t>]</w:t>
      </w:r>
      <w:r w:rsidR="006B536D">
        <w:rPr>
          <w:szCs w:val="22"/>
        </w:rPr>
        <w:t xml:space="preserve"> és</w:t>
      </w:r>
      <w:r w:rsidR="006B536D" w:rsidRPr="006B536D">
        <w:rPr>
          <w:szCs w:val="22"/>
        </w:rPr>
        <w:t xml:space="preserve"> </w:t>
      </w:r>
      <w:r w:rsidR="006B536D">
        <w:rPr>
          <w:szCs w:val="22"/>
        </w:rPr>
        <w:t>benzil</w:t>
      </w:r>
      <w:r w:rsidR="006B536D">
        <w:rPr>
          <w:szCs w:val="22"/>
        </w:rPr>
        <w:noBreakHyphen/>
        <w:t xml:space="preserve">alkoholt </w:t>
      </w:r>
      <w:r w:rsidR="0017599F">
        <w:rPr>
          <w:szCs w:val="22"/>
        </w:rPr>
        <w:t>[</w:t>
      </w:r>
      <w:r w:rsidR="006B536D">
        <w:rPr>
          <w:szCs w:val="22"/>
        </w:rPr>
        <w:t>E1519</w:t>
      </w:r>
      <w:r w:rsidR="0017599F">
        <w:rPr>
          <w:szCs w:val="22"/>
        </w:rPr>
        <w:t>]</w:t>
      </w:r>
      <w:r w:rsidR="00F32292">
        <w:rPr>
          <w:szCs w:val="22"/>
        </w:rPr>
        <w:t>)</w:t>
      </w:r>
    </w:p>
    <w:p w14:paraId="70C822A6" w14:textId="0A1781DE" w:rsidR="005644C0" w:rsidRPr="00831917" w:rsidRDefault="005644C0" w:rsidP="005105D4">
      <w:pPr>
        <w:spacing w:line="240" w:lineRule="auto"/>
        <w:rPr>
          <w:szCs w:val="22"/>
        </w:rPr>
      </w:pPr>
    </w:p>
    <w:p w14:paraId="48E627ED" w14:textId="48998D0B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6.2</w:t>
      </w:r>
      <w:r w:rsidRPr="00831917">
        <w:rPr>
          <w:b/>
          <w:szCs w:val="22"/>
        </w:rPr>
        <w:tab/>
        <w:t>Inkompatibilitások</w:t>
      </w:r>
    </w:p>
    <w:p w14:paraId="40967F0C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6894C1EE" w14:textId="65910C2B" w:rsidR="00632EFA" w:rsidRPr="00CF6B6C" w:rsidRDefault="000F4BE2" w:rsidP="00831917">
      <w:pPr>
        <w:spacing w:line="240" w:lineRule="auto"/>
        <w:rPr>
          <w:szCs w:val="22"/>
        </w:rPr>
      </w:pPr>
      <w:r>
        <w:rPr>
          <w:szCs w:val="22"/>
        </w:rPr>
        <w:t xml:space="preserve">Pozitív Coombs tesztről számoltak be cefalosporinokkal történő kezelés alatt – ez </w:t>
      </w:r>
      <w:r w:rsidR="005F58D6">
        <w:rPr>
          <w:szCs w:val="22"/>
        </w:rPr>
        <w:t xml:space="preserve">a tulajdonság </w:t>
      </w:r>
      <w:r>
        <w:rPr>
          <w:szCs w:val="22"/>
        </w:rPr>
        <w:t xml:space="preserve">megzavarhatja </w:t>
      </w:r>
      <w:r w:rsidRPr="00CF6B6C">
        <w:rPr>
          <w:szCs w:val="22"/>
        </w:rPr>
        <w:t>a vér</w:t>
      </w:r>
      <w:r w:rsidR="00FF6247" w:rsidRPr="00CF6B6C">
        <w:rPr>
          <w:szCs w:val="22"/>
        </w:rPr>
        <w:t xml:space="preserve"> kompatibilitási </w:t>
      </w:r>
      <w:r w:rsidRPr="00CF6B6C">
        <w:rPr>
          <w:szCs w:val="22"/>
        </w:rPr>
        <w:t>vizsgálat ere</w:t>
      </w:r>
      <w:r w:rsidR="00673EC4" w:rsidRPr="00CF6B6C">
        <w:rPr>
          <w:szCs w:val="22"/>
        </w:rPr>
        <w:t>d</w:t>
      </w:r>
      <w:r w:rsidRPr="00CF6B6C">
        <w:rPr>
          <w:szCs w:val="22"/>
        </w:rPr>
        <w:t>ményét.</w:t>
      </w:r>
    </w:p>
    <w:p w14:paraId="2DE0A7BF" w14:textId="77777777" w:rsidR="005644C0" w:rsidRPr="00CF6B6C" w:rsidRDefault="00632EFA" w:rsidP="00831917">
      <w:pPr>
        <w:keepNext/>
        <w:spacing w:line="240" w:lineRule="auto"/>
        <w:rPr>
          <w:szCs w:val="22"/>
        </w:rPr>
      </w:pPr>
      <w:r w:rsidRPr="00CF6B6C" w:rsidDel="00632EFA">
        <w:rPr>
          <w:szCs w:val="22"/>
        </w:rPr>
        <w:t xml:space="preserve"> </w:t>
      </w:r>
    </w:p>
    <w:p w14:paraId="1E900D86" w14:textId="77777777" w:rsidR="005644C0" w:rsidRPr="00CF6B6C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CF6B6C">
        <w:rPr>
          <w:b/>
          <w:szCs w:val="22"/>
        </w:rPr>
        <w:t>6.3</w:t>
      </w:r>
      <w:r w:rsidRPr="00CF6B6C">
        <w:rPr>
          <w:b/>
          <w:szCs w:val="22"/>
        </w:rPr>
        <w:tab/>
        <w:t>Felhasználhatósági időtartam</w:t>
      </w:r>
    </w:p>
    <w:p w14:paraId="17639DEE" w14:textId="06F5F6C7" w:rsidR="005644C0" w:rsidRPr="00CF6B6C" w:rsidRDefault="005644C0" w:rsidP="00831917">
      <w:pPr>
        <w:keepNext/>
        <w:spacing w:line="240" w:lineRule="auto"/>
        <w:rPr>
          <w:szCs w:val="22"/>
        </w:rPr>
      </w:pPr>
    </w:p>
    <w:p w14:paraId="27AA41EA" w14:textId="4C3993F1" w:rsidR="00A62ED3" w:rsidRPr="00697381" w:rsidRDefault="00A62ED3" w:rsidP="00A62ED3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125 mg filmtabletta</w:t>
      </w:r>
    </w:p>
    <w:p w14:paraId="49AF8393" w14:textId="77777777" w:rsidR="00A62ED3" w:rsidRPr="00697381" w:rsidRDefault="00A62ED3" w:rsidP="00A62ED3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250 mg filmtabletta</w:t>
      </w:r>
    </w:p>
    <w:p w14:paraId="6D5788DF" w14:textId="77777777" w:rsidR="00A62ED3" w:rsidRPr="00697381" w:rsidRDefault="00A62ED3" w:rsidP="00A62ED3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500 mg filmtabletta</w:t>
      </w:r>
    </w:p>
    <w:p w14:paraId="4E764F3E" w14:textId="59B3A9C1" w:rsidR="00632EFA" w:rsidRDefault="00A62ED3" w:rsidP="00831917">
      <w:pPr>
        <w:spacing w:line="240" w:lineRule="auto"/>
        <w:rPr>
          <w:szCs w:val="22"/>
        </w:rPr>
      </w:pPr>
      <w:r w:rsidRPr="00CF6B6C">
        <w:rPr>
          <w:szCs w:val="22"/>
        </w:rPr>
        <w:t>3 év</w:t>
      </w:r>
    </w:p>
    <w:p w14:paraId="62A8A69B" w14:textId="77777777" w:rsidR="00955FEC" w:rsidRPr="00831917" w:rsidRDefault="00955FEC" w:rsidP="00831917">
      <w:pPr>
        <w:spacing w:line="240" w:lineRule="auto"/>
        <w:rPr>
          <w:szCs w:val="22"/>
        </w:rPr>
      </w:pPr>
    </w:p>
    <w:p w14:paraId="6CF01815" w14:textId="3D785D22" w:rsidR="00920C32" w:rsidRPr="00697381" w:rsidRDefault="00920C32" w:rsidP="00920C32">
      <w:pPr>
        <w:spacing w:line="240" w:lineRule="auto"/>
        <w:rPr>
          <w:szCs w:val="22"/>
          <w:u w:val="single"/>
        </w:rPr>
      </w:pPr>
      <w:r w:rsidRPr="00697381">
        <w:rPr>
          <w:u w:val="single"/>
        </w:rPr>
        <w:t xml:space="preserve">Zinnat 125 mg/5 ml </w:t>
      </w:r>
      <w:r w:rsidR="000F4BE2" w:rsidRPr="00697381">
        <w:rPr>
          <w:szCs w:val="22"/>
          <w:u w:val="single"/>
        </w:rPr>
        <w:t xml:space="preserve">granulátum belsőleges </w:t>
      </w:r>
      <w:r w:rsidRPr="00697381">
        <w:rPr>
          <w:szCs w:val="22"/>
          <w:u w:val="single"/>
        </w:rPr>
        <w:t>szuszpenzió</w:t>
      </w:r>
      <w:r w:rsidR="000F4BE2" w:rsidRPr="00697381">
        <w:rPr>
          <w:szCs w:val="22"/>
          <w:u w:val="single"/>
        </w:rPr>
        <w:t>hoz</w:t>
      </w:r>
    </w:p>
    <w:p w14:paraId="21E8431C" w14:textId="37156F76" w:rsidR="00632EFA" w:rsidRPr="00CF6B6C" w:rsidRDefault="000F4BE2" w:rsidP="00831917">
      <w:pPr>
        <w:spacing w:line="240" w:lineRule="auto"/>
      </w:pPr>
      <w:r>
        <w:rPr>
          <w:szCs w:val="22"/>
        </w:rPr>
        <w:t xml:space="preserve">A felbontatlan Zinnat </w:t>
      </w:r>
      <w:r w:rsidR="008C04A0">
        <w:rPr>
          <w:szCs w:val="22"/>
        </w:rPr>
        <w:t xml:space="preserve">granulátum belsőleges </w:t>
      </w:r>
      <w:r w:rsidRPr="00CF6B6C">
        <w:t>szuszpenzió</w:t>
      </w:r>
      <w:r w:rsidR="008C04A0">
        <w:t>hoz</w:t>
      </w:r>
      <w:r>
        <w:rPr>
          <w:szCs w:val="22"/>
        </w:rPr>
        <w:t xml:space="preserve"> lejárati ideje a gyártástól számítva</w:t>
      </w:r>
      <w:r w:rsidR="002A2B40">
        <w:rPr>
          <w:szCs w:val="22"/>
        </w:rPr>
        <w:t xml:space="preserve"> </w:t>
      </w:r>
      <w:r w:rsidR="002A2B40" w:rsidRPr="00CF6B6C">
        <w:rPr>
          <w:szCs w:val="22"/>
        </w:rPr>
        <w:t>2 év</w:t>
      </w:r>
      <w:r w:rsidRPr="00CF6B6C">
        <w:rPr>
          <w:szCs w:val="22"/>
        </w:rPr>
        <w:t>.</w:t>
      </w:r>
    </w:p>
    <w:p w14:paraId="0D78802A" w14:textId="764CF5F5" w:rsidR="005644C0" w:rsidRPr="00831917" w:rsidRDefault="00632EFA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 xml:space="preserve">Az elkészített szuszpenzió </w:t>
      </w:r>
      <w:r w:rsidRPr="00831917">
        <w:rPr>
          <w:bCs/>
          <w:szCs w:val="22"/>
        </w:rPr>
        <w:t>hűtőszekrényben</w:t>
      </w:r>
      <w:r w:rsidR="0095374C" w:rsidRPr="00831917">
        <w:rPr>
          <w:bCs/>
          <w:szCs w:val="22"/>
        </w:rPr>
        <w:t xml:space="preserve"> (</w:t>
      </w:r>
      <w:r w:rsidR="0095374C" w:rsidRPr="00831917">
        <w:rPr>
          <w:szCs w:val="22"/>
        </w:rPr>
        <w:t>2</w:t>
      </w:r>
      <w:r w:rsidR="00A32624">
        <w:rPr>
          <w:szCs w:val="22"/>
        </w:rPr>
        <w:t xml:space="preserve"> </w:t>
      </w:r>
      <w:r w:rsidR="0095374C" w:rsidRPr="00831917">
        <w:rPr>
          <w:szCs w:val="22"/>
        </w:rPr>
        <w:t>°C</w:t>
      </w:r>
      <w:r w:rsidR="0095374C" w:rsidRPr="00831917">
        <w:rPr>
          <w:szCs w:val="22"/>
        </w:rPr>
        <w:noBreakHyphen/>
        <w:t>8</w:t>
      </w:r>
      <w:r w:rsidR="00A32624">
        <w:rPr>
          <w:szCs w:val="22"/>
        </w:rPr>
        <w:t xml:space="preserve"> </w:t>
      </w:r>
      <w:r w:rsidR="0095374C" w:rsidRPr="00831917">
        <w:rPr>
          <w:szCs w:val="22"/>
        </w:rPr>
        <w:t xml:space="preserve">°C) </w:t>
      </w:r>
      <w:r w:rsidR="000F4BE2">
        <w:rPr>
          <w:szCs w:val="22"/>
        </w:rPr>
        <w:t>tárolva</w:t>
      </w:r>
      <w:r w:rsidR="0034595F">
        <w:rPr>
          <w:szCs w:val="22"/>
        </w:rPr>
        <w:t xml:space="preserve"> </w:t>
      </w:r>
      <w:r w:rsidRPr="00831917">
        <w:rPr>
          <w:szCs w:val="22"/>
        </w:rPr>
        <w:t>10</w:t>
      </w:r>
      <w:r w:rsidR="000F4BE2">
        <w:rPr>
          <w:szCs w:val="22"/>
        </w:rPr>
        <w:t> </w:t>
      </w:r>
      <w:r w:rsidRPr="00831917">
        <w:rPr>
          <w:szCs w:val="22"/>
        </w:rPr>
        <w:t>napig használható fel.</w:t>
      </w:r>
    </w:p>
    <w:p w14:paraId="62D970F2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ACEDBC4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6.4</w:t>
      </w:r>
      <w:r w:rsidRPr="00831917">
        <w:rPr>
          <w:b/>
          <w:szCs w:val="22"/>
        </w:rPr>
        <w:tab/>
        <w:t>Különleges tárolási előírások</w:t>
      </w:r>
    </w:p>
    <w:p w14:paraId="7CD1BE99" w14:textId="7CA14836" w:rsidR="005644C0" w:rsidRDefault="005644C0" w:rsidP="00831917">
      <w:pPr>
        <w:keepNext/>
        <w:spacing w:line="240" w:lineRule="auto"/>
        <w:rPr>
          <w:iCs/>
          <w:szCs w:val="22"/>
        </w:rPr>
      </w:pPr>
    </w:p>
    <w:p w14:paraId="480F9E1E" w14:textId="77777777" w:rsidR="006C2F66" w:rsidRPr="00697381" w:rsidRDefault="006C2F66" w:rsidP="006C2F66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125 mg filmtabletta</w:t>
      </w:r>
    </w:p>
    <w:p w14:paraId="1A31D1C6" w14:textId="77777777" w:rsidR="006C2F66" w:rsidRPr="00697381" w:rsidRDefault="006C2F66" w:rsidP="006C2F66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250 mg filmtabletta</w:t>
      </w:r>
    </w:p>
    <w:p w14:paraId="0449497D" w14:textId="77777777" w:rsidR="006C2F66" w:rsidRPr="00697381" w:rsidRDefault="006C2F66" w:rsidP="006C2F66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500 mg filmtabletta</w:t>
      </w:r>
    </w:p>
    <w:p w14:paraId="70104244" w14:textId="6B45803D" w:rsidR="00632EFA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Legfeljebb 30</w:t>
      </w:r>
      <w:r w:rsidR="00974295">
        <w:rPr>
          <w:szCs w:val="22"/>
        </w:rPr>
        <w:t> °</w:t>
      </w:r>
      <w:r w:rsidRPr="00831917">
        <w:rPr>
          <w:szCs w:val="22"/>
        </w:rPr>
        <w:t xml:space="preserve">C-on tárolandó. </w:t>
      </w:r>
    </w:p>
    <w:p w14:paraId="3ACB0C2F" w14:textId="77777777" w:rsidR="00632EFA" w:rsidRPr="00831917" w:rsidRDefault="00632EFA" w:rsidP="00831917">
      <w:pPr>
        <w:spacing w:line="240" w:lineRule="auto"/>
        <w:rPr>
          <w:i/>
          <w:szCs w:val="22"/>
        </w:rPr>
      </w:pPr>
    </w:p>
    <w:p w14:paraId="4FCB636C" w14:textId="5DA47E81" w:rsidR="00E31009" w:rsidRPr="00697381" w:rsidRDefault="00E31009" w:rsidP="00E31009">
      <w:pPr>
        <w:spacing w:line="240" w:lineRule="auto"/>
        <w:rPr>
          <w:u w:val="single"/>
        </w:rPr>
      </w:pPr>
      <w:r w:rsidRPr="00697381">
        <w:rPr>
          <w:u w:val="single"/>
        </w:rPr>
        <w:t xml:space="preserve">Zinnat </w:t>
      </w:r>
      <w:r w:rsidR="008570CB">
        <w:rPr>
          <w:u w:val="single"/>
        </w:rPr>
        <w:t xml:space="preserve">125 mg/5 ml </w:t>
      </w:r>
      <w:r w:rsidR="008D14A7" w:rsidRPr="00697381">
        <w:rPr>
          <w:szCs w:val="22"/>
          <w:u w:val="single"/>
        </w:rPr>
        <w:t xml:space="preserve">granulátum belsőleges </w:t>
      </w:r>
      <w:r w:rsidRPr="00697381">
        <w:rPr>
          <w:szCs w:val="22"/>
          <w:u w:val="single"/>
        </w:rPr>
        <w:t>szuszpenzió</w:t>
      </w:r>
      <w:r w:rsidR="008D14A7" w:rsidRPr="00697381">
        <w:rPr>
          <w:szCs w:val="22"/>
          <w:u w:val="single"/>
        </w:rPr>
        <w:t>hoz</w:t>
      </w:r>
    </w:p>
    <w:p w14:paraId="18F048E4" w14:textId="64559B98" w:rsidR="00632EFA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Legfeljebb 30</w:t>
      </w:r>
      <w:r w:rsidR="00974295">
        <w:rPr>
          <w:szCs w:val="22"/>
        </w:rPr>
        <w:t> °</w:t>
      </w:r>
      <w:r w:rsidRPr="00831917">
        <w:rPr>
          <w:szCs w:val="22"/>
        </w:rPr>
        <w:t>C-on tárolandó.</w:t>
      </w:r>
    </w:p>
    <w:p w14:paraId="23819D63" w14:textId="406AFE09" w:rsidR="00632EFA" w:rsidRPr="00831917" w:rsidRDefault="00632EFA" w:rsidP="00831917">
      <w:pPr>
        <w:spacing w:line="240" w:lineRule="auto"/>
        <w:rPr>
          <w:b/>
          <w:bCs/>
          <w:szCs w:val="22"/>
        </w:rPr>
      </w:pPr>
    </w:p>
    <w:p w14:paraId="3E7FA65F" w14:textId="63A59D6D" w:rsidR="00632EFA" w:rsidRDefault="00A32624" w:rsidP="00831917">
      <w:pPr>
        <w:spacing w:line="240" w:lineRule="auto"/>
        <w:rPr>
          <w:noProof/>
          <w:szCs w:val="22"/>
          <w:lang w:eastAsia="en-US"/>
        </w:rPr>
      </w:pPr>
      <w:r w:rsidRPr="000C1738">
        <w:rPr>
          <w:noProof/>
          <w:szCs w:val="22"/>
          <w:lang w:eastAsia="en-US"/>
        </w:rPr>
        <w:t xml:space="preserve">A </w:t>
      </w:r>
      <w:r>
        <w:rPr>
          <w:noProof/>
          <w:szCs w:val="22"/>
          <w:lang w:eastAsia="en-US"/>
        </w:rPr>
        <w:t>Zinnat belsőleges szuszpenzió</w:t>
      </w:r>
      <w:r w:rsidRPr="000C1738">
        <w:rPr>
          <w:noProof/>
          <w:szCs w:val="22"/>
          <w:lang w:eastAsia="en-US"/>
        </w:rPr>
        <w:t xml:space="preserve"> </w:t>
      </w:r>
      <w:r w:rsidR="00974295">
        <w:rPr>
          <w:noProof/>
          <w:szCs w:val="22"/>
          <w:lang w:eastAsia="en-US"/>
        </w:rPr>
        <w:t xml:space="preserve">elkészítés </w:t>
      </w:r>
      <w:r w:rsidRPr="000C1738">
        <w:rPr>
          <w:noProof/>
          <w:szCs w:val="22"/>
          <w:lang w:eastAsia="en-US"/>
        </w:rPr>
        <w:t>utáni tárolására v</w:t>
      </w:r>
      <w:r>
        <w:rPr>
          <w:noProof/>
          <w:szCs w:val="22"/>
          <w:lang w:eastAsia="en-US"/>
        </w:rPr>
        <w:t>onatkozó előírásokat lásd a 6.3 </w:t>
      </w:r>
      <w:r w:rsidRPr="000C1738">
        <w:rPr>
          <w:noProof/>
          <w:szCs w:val="22"/>
          <w:lang w:eastAsia="en-US"/>
        </w:rPr>
        <w:t>pontban.</w:t>
      </w:r>
    </w:p>
    <w:p w14:paraId="2854A1C4" w14:textId="77777777" w:rsidR="00A32624" w:rsidRPr="00831917" w:rsidRDefault="00A32624" w:rsidP="00831917">
      <w:pPr>
        <w:spacing w:line="240" w:lineRule="auto"/>
        <w:rPr>
          <w:b/>
          <w:bCs/>
          <w:szCs w:val="22"/>
        </w:rPr>
      </w:pPr>
    </w:p>
    <w:p w14:paraId="421E6852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lastRenderedPageBreak/>
        <w:t>6.5</w:t>
      </w:r>
      <w:r w:rsidRPr="00831917">
        <w:rPr>
          <w:b/>
          <w:szCs w:val="22"/>
        </w:rPr>
        <w:tab/>
        <w:t>Csomagolás típusa és kiszerelése</w:t>
      </w:r>
    </w:p>
    <w:p w14:paraId="2394FB84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23FB5E87" w14:textId="4530C020" w:rsidR="000228EF" w:rsidRPr="000B0E10" w:rsidRDefault="000228EF" w:rsidP="000228EF">
      <w:pPr>
        <w:keepNext/>
        <w:spacing w:line="240" w:lineRule="auto"/>
        <w:rPr>
          <w:szCs w:val="22"/>
          <w:u w:val="single"/>
        </w:rPr>
      </w:pPr>
      <w:r w:rsidRPr="000B0E10">
        <w:rPr>
          <w:szCs w:val="22"/>
          <w:u w:val="single"/>
        </w:rPr>
        <w:t>Zinnat 125 mg filmtabletta</w:t>
      </w:r>
    </w:p>
    <w:p w14:paraId="7D66229A" w14:textId="21C0535B" w:rsidR="000228EF" w:rsidRPr="007D5963" w:rsidRDefault="000228EF" w:rsidP="000228EF">
      <w:pPr>
        <w:spacing w:line="240" w:lineRule="auto"/>
        <w:rPr>
          <w:szCs w:val="22"/>
          <w:u w:val="single"/>
        </w:rPr>
      </w:pPr>
      <w:r w:rsidRPr="00CF6B6C">
        <w:rPr>
          <w:szCs w:val="22"/>
          <w:u w:val="single"/>
        </w:rPr>
        <w:t>Zinnat 250 mg filmtabletta</w:t>
      </w:r>
    </w:p>
    <w:p w14:paraId="524A6BAD" w14:textId="77777777" w:rsidR="000228EF" w:rsidRPr="00697381" w:rsidRDefault="000228EF" w:rsidP="000228EF">
      <w:pPr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500 mg filmtabletta</w:t>
      </w:r>
    </w:p>
    <w:p w14:paraId="0B2B0DE7" w14:textId="4F43DF61" w:rsidR="000228EF" w:rsidRPr="007D5963" w:rsidRDefault="000228EF" w:rsidP="000228EF">
      <w:pPr>
        <w:spacing w:line="240" w:lineRule="auto"/>
        <w:rPr>
          <w:szCs w:val="22"/>
        </w:rPr>
      </w:pPr>
      <w:r w:rsidRPr="007D5963">
        <w:rPr>
          <w:szCs w:val="22"/>
        </w:rPr>
        <w:t>Filmtablett</w:t>
      </w:r>
      <w:r w:rsidR="00872D0A" w:rsidRPr="007D5963">
        <w:rPr>
          <w:szCs w:val="22"/>
        </w:rPr>
        <w:t>ák</w:t>
      </w:r>
      <w:r w:rsidRPr="007D5963">
        <w:rPr>
          <w:szCs w:val="22"/>
        </w:rPr>
        <w:t xml:space="preserve"> </w:t>
      </w:r>
      <w:r w:rsidRPr="00CF6B6C">
        <w:rPr>
          <w:szCs w:val="24"/>
        </w:rPr>
        <w:t>OPA/Al/PVC//</w:t>
      </w:r>
      <w:r w:rsidRPr="007D5963">
        <w:rPr>
          <w:szCs w:val="24"/>
        </w:rPr>
        <w:t>Al</w:t>
      </w:r>
      <w:r w:rsidRPr="00584C88">
        <w:rPr>
          <w:szCs w:val="22"/>
        </w:rPr>
        <w:t xml:space="preserve"> </w:t>
      </w:r>
      <w:r w:rsidR="00AC35B1" w:rsidRPr="00584C88">
        <w:rPr>
          <w:szCs w:val="22"/>
        </w:rPr>
        <w:t>buborékcsomagolás</w:t>
      </w:r>
      <w:r w:rsidR="00860A3B" w:rsidRPr="00584C88">
        <w:rPr>
          <w:szCs w:val="22"/>
        </w:rPr>
        <w:t>ban</w:t>
      </w:r>
      <w:r w:rsidR="00AC35B1" w:rsidRPr="00584C88">
        <w:rPr>
          <w:szCs w:val="22"/>
        </w:rPr>
        <w:t xml:space="preserve"> </w:t>
      </w:r>
      <w:r w:rsidRPr="007D5963">
        <w:rPr>
          <w:szCs w:val="22"/>
        </w:rPr>
        <w:t>és dobozban</w:t>
      </w:r>
      <w:r w:rsidR="00AC35B1" w:rsidRPr="007D5963">
        <w:rPr>
          <w:szCs w:val="22"/>
        </w:rPr>
        <w:t>.</w:t>
      </w:r>
    </w:p>
    <w:p w14:paraId="210B5E16" w14:textId="335CD383" w:rsidR="00AC35B1" w:rsidRPr="007D5963" w:rsidRDefault="00AC35B1" w:rsidP="000228EF">
      <w:pPr>
        <w:spacing w:line="240" w:lineRule="auto"/>
        <w:rPr>
          <w:szCs w:val="22"/>
        </w:rPr>
      </w:pPr>
      <w:r w:rsidRPr="007D5963">
        <w:rPr>
          <w:szCs w:val="22"/>
        </w:rPr>
        <w:t xml:space="preserve"> </w:t>
      </w:r>
    </w:p>
    <w:p w14:paraId="102664DA" w14:textId="63954579" w:rsidR="00AC35B1" w:rsidRPr="00CF6B6C" w:rsidRDefault="00AC35B1" w:rsidP="00831917">
      <w:pPr>
        <w:spacing w:line="240" w:lineRule="auto"/>
        <w:rPr>
          <w:szCs w:val="22"/>
        </w:rPr>
      </w:pPr>
      <w:r w:rsidRPr="00CF6B6C">
        <w:rPr>
          <w:szCs w:val="22"/>
        </w:rPr>
        <w:t>Kiszerelés: 6</w:t>
      </w:r>
      <w:r w:rsidR="00974295">
        <w:rPr>
          <w:szCs w:val="22"/>
        </w:rPr>
        <w:t> db</w:t>
      </w:r>
      <w:r w:rsidRPr="00CF6B6C">
        <w:rPr>
          <w:szCs w:val="22"/>
        </w:rPr>
        <w:t>, 10</w:t>
      </w:r>
      <w:r w:rsidR="00974295">
        <w:rPr>
          <w:szCs w:val="22"/>
        </w:rPr>
        <w:t> db</w:t>
      </w:r>
      <w:r w:rsidRPr="00CF6B6C">
        <w:rPr>
          <w:szCs w:val="22"/>
        </w:rPr>
        <w:t>, 12</w:t>
      </w:r>
      <w:r w:rsidR="00974295">
        <w:rPr>
          <w:szCs w:val="22"/>
        </w:rPr>
        <w:t> db</w:t>
      </w:r>
      <w:r w:rsidRPr="00CF6B6C">
        <w:rPr>
          <w:szCs w:val="22"/>
        </w:rPr>
        <w:t>, 14</w:t>
      </w:r>
      <w:r w:rsidR="00974295">
        <w:rPr>
          <w:szCs w:val="22"/>
        </w:rPr>
        <w:t> db</w:t>
      </w:r>
      <w:r w:rsidRPr="00CF6B6C">
        <w:rPr>
          <w:szCs w:val="22"/>
        </w:rPr>
        <w:t>, 16</w:t>
      </w:r>
      <w:r w:rsidR="00974295">
        <w:rPr>
          <w:szCs w:val="22"/>
        </w:rPr>
        <w:t> db</w:t>
      </w:r>
      <w:r w:rsidRPr="00CF6B6C">
        <w:rPr>
          <w:szCs w:val="22"/>
        </w:rPr>
        <w:t>, 20</w:t>
      </w:r>
      <w:r w:rsidR="00974295">
        <w:rPr>
          <w:szCs w:val="22"/>
        </w:rPr>
        <w:t> db</w:t>
      </w:r>
      <w:r w:rsidRPr="00CF6B6C">
        <w:rPr>
          <w:szCs w:val="22"/>
        </w:rPr>
        <w:t>, 24</w:t>
      </w:r>
      <w:r w:rsidR="00974295">
        <w:rPr>
          <w:szCs w:val="22"/>
        </w:rPr>
        <w:t> db</w:t>
      </w:r>
      <w:r w:rsidRPr="00CF6B6C">
        <w:rPr>
          <w:szCs w:val="22"/>
        </w:rPr>
        <w:t xml:space="preserve"> és 50</w:t>
      </w:r>
      <w:r w:rsidR="00974295">
        <w:rPr>
          <w:szCs w:val="22"/>
        </w:rPr>
        <w:t> db filmtabletta.</w:t>
      </w:r>
    </w:p>
    <w:p w14:paraId="2861BD39" w14:textId="77777777" w:rsidR="005644C0" w:rsidRPr="00CF6B6C" w:rsidRDefault="005644C0" w:rsidP="00831917">
      <w:pPr>
        <w:keepNext/>
        <w:spacing w:line="240" w:lineRule="auto"/>
        <w:rPr>
          <w:szCs w:val="22"/>
        </w:rPr>
      </w:pPr>
    </w:p>
    <w:p w14:paraId="1CCE79B3" w14:textId="679186C0" w:rsidR="000B0E10" w:rsidRPr="00697381" w:rsidRDefault="00632EFA" w:rsidP="00831917">
      <w:pPr>
        <w:spacing w:line="240" w:lineRule="auto"/>
        <w:rPr>
          <w:u w:val="single"/>
        </w:rPr>
      </w:pPr>
      <w:r w:rsidRPr="00697381">
        <w:rPr>
          <w:szCs w:val="22"/>
          <w:u w:val="single"/>
        </w:rPr>
        <w:t>Zinnat</w:t>
      </w:r>
      <w:r w:rsidR="00860A3B" w:rsidRPr="00697381">
        <w:rPr>
          <w:u w:val="single"/>
        </w:rPr>
        <w:t xml:space="preserve"> </w:t>
      </w:r>
      <w:r w:rsidR="000B0E10" w:rsidRPr="00697381">
        <w:rPr>
          <w:u w:val="single"/>
        </w:rPr>
        <w:t xml:space="preserve">125 mg/5 ml </w:t>
      </w:r>
      <w:r w:rsidR="0009759C">
        <w:rPr>
          <w:u w:val="single"/>
        </w:rPr>
        <w:t xml:space="preserve">granulátum belsőleges </w:t>
      </w:r>
      <w:r w:rsidR="000B0E10" w:rsidRPr="00697381">
        <w:rPr>
          <w:u w:val="single"/>
        </w:rPr>
        <w:t>szuszpenzió</w:t>
      </w:r>
      <w:r w:rsidR="0009759C">
        <w:rPr>
          <w:u w:val="single"/>
        </w:rPr>
        <w:t>hoz</w:t>
      </w:r>
    </w:p>
    <w:p w14:paraId="071AEE41" w14:textId="79DD755C" w:rsidR="000B0E10" w:rsidRDefault="000B0E10" w:rsidP="000B0E10">
      <w:pPr>
        <w:pStyle w:val="Alcm"/>
        <w:tabs>
          <w:tab w:val="left" w:pos="1418"/>
        </w:tabs>
        <w:jc w:val="left"/>
        <w:rPr>
          <w:rFonts w:ascii="Times New Roman" w:hAnsi="Times New Roman"/>
          <w:b w:val="0"/>
          <w:sz w:val="22"/>
          <w:szCs w:val="22"/>
        </w:rPr>
      </w:pPr>
      <w:r w:rsidRPr="00CF6B6C">
        <w:rPr>
          <w:rFonts w:ascii="Times New Roman" w:hAnsi="Times New Roman"/>
          <w:b w:val="0"/>
          <w:sz w:val="22"/>
          <w:szCs w:val="22"/>
        </w:rPr>
        <w:t xml:space="preserve">Granulátum </w:t>
      </w:r>
      <w:r w:rsidRPr="00CF6B6C">
        <w:rPr>
          <w:rFonts w:ascii="Times New Roman" w:hAnsi="Times New Roman"/>
          <w:b w:val="0"/>
          <w:spacing w:val="-3"/>
          <w:sz w:val="22"/>
          <w:szCs w:val="22"/>
        </w:rPr>
        <w:t>hőforrasztott zárófóliával ellátott III</w:t>
      </w:r>
      <w:r w:rsidR="00FF6247" w:rsidRPr="00CF6B6C">
        <w:rPr>
          <w:rFonts w:ascii="Times New Roman" w:hAnsi="Times New Roman"/>
          <w:b w:val="0"/>
          <w:spacing w:val="-3"/>
          <w:sz w:val="22"/>
          <w:szCs w:val="22"/>
        </w:rPr>
        <w:noBreakHyphen/>
      </w:r>
      <w:r w:rsidRPr="00CF6B6C">
        <w:rPr>
          <w:rFonts w:ascii="Times New Roman" w:hAnsi="Times New Roman"/>
          <w:b w:val="0"/>
          <w:spacing w:val="-3"/>
          <w:sz w:val="22"/>
          <w:szCs w:val="22"/>
        </w:rPr>
        <w:t>as típusú</w:t>
      </w:r>
      <w:r w:rsidRPr="00CF6B6C">
        <w:rPr>
          <w:rFonts w:ascii="Times New Roman" w:hAnsi="Times New Roman"/>
          <w:b w:val="0"/>
          <w:sz w:val="22"/>
          <w:szCs w:val="22"/>
        </w:rPr>
        <w:t xml:space="preserve"> barna színű üvegben</w:t>
      </w:r>
      <w:r w:rsidR="00051EA7" w:rsidRPr="00CF6B6C">
        <w:rPr>
          <w:rFonts w:ascii="Times New Roman" w:hAnsi="Times New Roman"/>
          <w:b w:val="0"/>
          <w:sz w:val="22"/>
          <w:szCs w:val="22"/>
          <w:lang w:val="hu-HU"/>
        </w:rPr>
        <w:t>,</w:t>
      </w:r>
      <w:r w:rsidRPr="00CF6B6C">
        <w:rPr>
          <w:rFonts w:ascii="Times New Roman" w:hAnsi="Times New Roman"/>
          <w:b w:val="0"/>
          <w:sz w:val="22"/>
          <w:szCs w:val="22"/>
        </w:rPr>
        <w:t xml:space="preserve"> amely gyermekbiztos csavaros műanyag kupakkal van lezárva.</w:t>
      </w:r>
    </w:p>
    <w:p w14:paraId="75C79F9E" w14:textId="77777777" w:rsidR="00051EA7" w:rsidRPr="00CF6B6C" w:rsidRDefault="00051EA7" w:rsidP="00CF6B6C">
      <w:pPr>
        <w:pStyle w:val="Szvegtrzs"/>
        <w:rPr>
          <w:b/>
        </w:rPr>
      </w:pPr>
    </w:p>
    <w:p w14:paraId="4E84D2C7" w14:textId="5B5F3AAD" w:rsidR="000B0E10" w:rsidRDefault="000B0E10" w:rsidP="00CF6B6C">
      <w:pPr>
        <w:pStyle w:val="Alcm"/>
        <w:tabs>
          <w:tab w:val="left" w:pos="1418"/>
          <w:tab w:val="left" w:pos="4962"/>
          <w:tab w:val="decimal" w:pos="7938"/>
        </w:tabs>
        <w:spacing w:before="60"/>
        <w:jc w:val="left"/>
        <w:rPr>
          <w:rFonts w:ascii="Times New Roman" w:hAnsi="Times New Roman"/>
          <w:b w:val="0"/>
          <w:sz w:val="22"/>
          <w:szCs w:val="22"/>
        </w:rPr>
      </w:pPr>
      <w:r w:rsidRPr="000B0E10">
        <w:rPr>
          <w:rFonts w:ascii="Times New Roman" w:hAnsi="Times New Roman"/>
          <w:b w:val="0"/>
          <w:sz w:val="22"/>
          <w:szCs w:val="22"/>
        </w:rPr>
        <w:t xml:space="preserve">Egy üveg műanyag adagoló kanállal </w:t>
      </w:r>
      <w:r w:rsidR="00D40888">
        <w:rPr>
          <w:rFonts w:ascii="Times New Roman" w:hAnsi="Times New Roman"/>
          <w:b w:val="0"/>
          <w:sz w:val="22"/>
          <w:szCs w:val="22"/>
        </w:rPr>
        <w:t>és a szuszpenzió elkészítéséhez</w:t>
      </w:r>
      <w:r w:rsidR="00D40888">
        <w:rPr>
          <w:rFonts w:ascii="Times New Roman" w:hAnsi="Times New Roman"/>
          <w:b w:val="0"/>
          <w:sz w:val="22"/>
          <w:szCs w:val="22"/>
          <w:lang w:val="hu-HU"/>
        </w:rPr>
        <w:t xml:space="preserve"> </w:t>
      </w:r>
      <w:r w:rsidRPr="000B0E10">
        <w:rPr>
          <w:rFonts w:ascii="Times New Roman" w:hAnsi="Times New Roman"/>
          <w:b w:val="0"/>
          <w:sz w:val="22"/>
          <w:szCs w:val="22"/>
        </w:rPr>
        <w:t>szükséges műanyag pohárral</w:t>
      </w:r>
      <w:r w:rsidR="00051EA7">
        <w:rPr>
          <w:rFonts w:ascii="Times New Roman" w:hAnsi="Times New Roman"/>
          <w:b w:val="0"/>
          <w:sz w:val="22"/>
          <w:szCs w:val="22"/>
          <w:lang w:val="hu-HU"/>
        </w:rPr>
        <w:t>,</w:t>
      </w:r>
      <w:r w:rsidRPr="000B0E10">
        <w:rPr>
          <w:rFonts w:ascii="Times New Roman" w:hAnsi="Times New Roman"/>
          <w:b w:val="0"/>
          <w:sz w:val="22"/>
          <w:szCs w:val="22"/>
        </w:rPr>
        <w:t xml:space="preserve"> dobozban.</w:t>
      </w:r>
    </w:p>
    <w:p w14:paraId="7454B43A" w14:textId="77777777" w:rsidR="00051EA7" w:rsidRPr="00CF6B6C" w:rsidRDefault="00051EA7" w:rsidP="00CF6B6C">
      <w:pPr>
        <w:pStyle w:val="Szvegtrzs"/>
        <w:rPr>
          <w:b/>
        </w:rPr>
      </w:pPr>
    </w:p>
    <w:p w14:paraId="5896FA1A" w14:textId="5DF67963" w:rsidR="000B0E10" w:rsidRPr="000B0E10" w:rsidRDefault="000B0E10" w:rsidP="000B0E10">
      <w:pPr>
        <w:pStyle w:val="Szvegtrzs"/>
        <w:rPr>
          <w:sz w:val="22"/>
          <w:szCs w:val="22"/>
          <w:lang w:val="hu-HU"/>
        </w:rPr>
      </w:pPr>
      <w:r w:rsidRPr="000B0E10">
        <w:rPr>
          <w:sz w:val="22"/>
          <w:szCs w:val="22"/>
          <w:lang w:val="hu-HU"/>
        </w:rPr>
        <w:t>Egy üveg 50 ml</w:t>
      </w:r>
      <w:r w:rsidR="00B63C16">
        <w:rPr>
          <w:sz w:val="22"/>
          <w:szCs w:val="22"/>
          <w:lang w:val="hu-HU"/>
        </w:rPr>
        <w:t>, 70 ml vagy 100 ml</w:t>
      </w:r>
      <w:r w:rsidRPr="000B0E10">
        <w:rPr>
          <w:sz w:val="22"/>
          <w:szCs w:val="22"/>
          <w:lang w:val="hu-HU"/>
        </w:rPr>
        <w:t xml:space="preserve"> szuszpenzió elkészítéséhez szükséges granulát</w:t>
      </w:r>
      <w:r w:rsidR="0072004E">
        <w:rPr>
          <w:sz w:val="22"/>
          <w:szCs w:val="22"/>
          <w:lang w:val="hu-HU"/>
        </w:rPr>
        <w:t>umot tartalmaz; az adagolókanál</w:t>
      </w:r>
      <w:r w:rsidR="00B63C16">
        <w:rPr>
          <w:sz w:val="22"/>
          <w:szCs w:val="22"/>
          <w:lang w:val="hu-HU"/>
        </w:rPr>
        <w:t xml:space="preserve"> </w:t>
      </w:r>
      <w:r w:rsidRPr="000B0E10">
        <w:rPr>
          <w:sz w:val="22"/>
          <w:szCs w:val="22"/>
          <w:lang w:val="hu-HU"/>
        </w:rPr>
        <w:t>5 ml</w:t>
      </w:r>
      <w:r w:rsidR="00FF6247">
        <w:rPr>
          <w:sz w:val="22"/>
          <w:szCs w:val="22"/>
          <w:lang w:val="hu-HU"/>
        </w:rPr>
        <w:t xml:space="preserve"> űrtartalmú</w:t>
      </w:r>
      <w:r w:rsidRPr="000B0E10">
        <w:rPr>
          <w:sz w:val="22"/>
          <w:szCs w:val="22"/>
          <w:lang w:val="hu-HU"/>
        </w:rPr>
        <w:t>.</w:t>
      </w:r>
    </w:p>
    <w:p w14:paraId="50E019B4" w14:textId="77777777" w:rsidR="00860A3B" w:rsidRPr="000B0E10" w:rsidRDefault="00860A3B" w:rsidP="00831917">
      <w:pPr>
        <w:spacing w:line="240" w:lineRule="auto"/>
        <w:rPr>
          <w:szCs w:val="22"/>
        </w:rPr>
      </w:pPr>
    </w:p>
    <w:p w14:paraId="3AA191AC" w14:textId="735D5DE4" w:rsidR="00C14351" w:rsidRDefault="00C14351" w:rsidP="00831917">
      <w:pPr>
        <w:spacing w:line="240" w:lineRule="auto"/>
        <w:rPr>
          <w:noProof/>
          <w:szCs w:val="22"/>
          <w:lang w:eastAsia="en-US"/>
        </w:rPr>
      </w:pPr>
      <w:r w:rsidRPr="000C1738">
        <w:rPr>
          <w:noProof/>
          <w:szCs w:val="22"/>
          <w:lang w:eastAsia="en-US"/>
        </w:rPr>
        <w:t>Nem feltétlenül mindegyik kiszerelés kerül kereskedelmi forgalomba.</w:t>
      </w:r>
    </w:p>
    <w:p w14:paraId="5FE7F0BB" w14:textId="77777777" w:rsidR="000228EF" w:rsidRPr="00831917" w:rsidRDefault="000228EF" w:rsidP="00831917">
      <w:pPr>
        <w:spacing w:line="240" w:lineRule="auto"/>
        <w:rPr>
          <w:szCs w:val="22"/>
        </w:rPr>
      </w:pPr>
    </w:p>
    <w:p w14:paraId="5DB4D417" w14:textId="77777777" w:rsidR="005644C0" w:rsidRPr="00831917" w:rsidRDefault="005644C0" w:rsidP="00831917">
      <w:pPr>
        <w:keepNext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noProof/>
          <w:szCs w:val="22"/>
        </w:rPr>
      </w:pPr>
      <w:r w:rsidRPr="00831917">
        <w:rPr>
          <w:b/>
          <w:szCs w:val="22"/>
        </w:rPr>
        <w:t>6.6</w:t>
      </w:r>
      <w:r w:rsidRPr="00831917">
        <w:rPr>
          <w:b/>
          <w:szCs w:val="22"/>
        </w:rPr>
        <w:tab/>
      </w:r>
      <w:r w:rsidRPr="00831917">
        <w:rPr>
          <w:b/>
          <w:noProof/>
          <w:szCs w:val="22"/>
        </w:rPr>
        <w:t>A megsemmisítésre vonatkozó különleges óvintézkedések</w:t>
      </w:r>
      <w:r w:rsidRPr="00831917">
        <w:rPr>
          <w:b/>
          <w:szCs w:val="22"/>
        </w:rPr>
        <w:t xml:space="preserve"> </w:t>
      </w:r>
      <w:r w:rsidRPr="00831917">
        <w:rPr>
          <w:b/>
          <w:noProof/>
          <w:szCs w:val="22"/>
        </w:rPr>
        <w:t>és egyéb, a készítmény kezelésével kapcsolatos információk</w:t>
      </w:r>
    </w:p>
    <w:p w14:paraId="7D3951FD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1B0B5CBC" w14:textId="347DC3C6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 xml:space="preserve">Bármilyen fel nem használt gyógyszer, illetve hulladékanyag megsemmisítését a </w:t>
      </w:r>
      <w:r w:rsidR="000D5CE3" w:rsidRPr="00831917">
        <w:rPr>
          <w:szCs w:val="22"/>
        </w:rPr>
        <w:t xml:space="preserve">gyógyszerekre vonatkozó </w:t>
      </w:r>
      <w:r w:rsidR="00860A3B">
        <w:rPr>
          <w:szCs w:val="22"/>
        </w:rPr>
        <w:t xml:space="preserve">helyi </w:t>
      </w:r>
      <w:r w:rsidRPr="00831917">
        <w:rPr>
          <w:szCs w:val="22"/>
        </w:rPr>
        <w:t>előírások szerint kell végrehajtani.</w:t>
      </w:r>
    </w:p>
    <w:p w14:paraId="1DF15BA9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F56212F" w14:textId="1DA905F4" w:rsidR="005644C0" w:rsidRPr="00697381" w:rsidRDefault="009D70F3" w:rsidP="00831917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 xml:space="preserve">Zinnat </w:t>
      </w:r>
      <w:r w:rsidR="005644C0" w:rsidRPr="00697381">
        <w:rPr>
          <w:szCs w:val="22"/>
          <w:u w:val="single"/>
        </w:rPr>
        <w:t>125 mg/5 ml granulátum belsőleges szuszpenzióhoz</w:t>
      </w:r>
    </w:p>
    <w:p w14:paraId="3643EA28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667AD174" w14:textId="2E97D2E8" w:rsidR="005644C0" w:rsidRPr="00697381" w:rsidRDefault="005644C0" w:rsidP="00831917">
      <w:pPr>
        <w:keepNext/>
        <w:spacing w:line="240" w:lineRule="auto"/>
        <w:rPr>
          <w:i/>
          <w:szCs w:val="22"/>
        </w:rPr>
      </w:pPr>
      <w:r w:rsidRPr="00697381">
        <w:rPr>
          <w:i/>
          <w:szCs w:val="22"/>
        </w:rPr>
        <w:t xml:space="preserve">Útmutató </w:t>
      </w:r>
      <w:r w:rsidR="0009759C">
        <w:rPr>
          <w:i/>
          <w:szCs w:val="22"/>
        </w:rPr>
        <w:t xml:space="preserve">a </w:t>
      </w:r>
      <w:r w:rsidR="00E6177E">
        <w:rPr>
          <w:i/>
          <w:szCs w:val="22"/>
        </w:rPr>
        <w:t xml:space="preserve">szuszpenzió elkészítéséhez és az </w:t>
      </w:r>
      <w:r w:rsidRPr="00697381">
        <w:rPr>
          <w:i/>
          <w:szCs w:val="22"/>
        </w:rPr>
        <w:t>alkalmazáshoz</w:t>
      </w:r>
    </w:p>
    <w:p w14:paraId="10C22F94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szCs w:val="22"/>
        </w:rPr>
        <w:t>Az üveget erősen fel kell rázni a gyógyszer bevétele előtt.</w:t>
      </w:r>
    </w:p>
    <w:p w14:paraId="04A7EB7B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9016F54" w14:textId="0AF3F8FA" w:rsidR="005644C0" w:rsidRPr="00831917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>Az elkészített szuszpenzió hűtőszekrényben, 2</w:t>
      </w:r>
      <w:r w:rsidR="00437751">
        <w:rPr>
          <w:szCs w:val="22"/>
        </w:rPr>
        <w:t xml:space="preserve"> </w:t>
      </w:r>
      <w:r w:rsidR="00DA0118" w:rsidRPr="00831917">
        <w:rPr>
          <w:noProof/>
          <w:szCs w:val="22"/>
        </w:rPr>
        <w:t>°C</w:t>
      </w:r>
      <w:r w:rsidR="00DA0118" w:rsidRPr="00831917">
        <w:rPr>
          <w:szCs w:val="22"/>
        </w:rPr>
        <w:t xml:space="preserve"> </w:t>
      </w:r>
      <w:r w:rsidRPr="00831917">
        <w:rPr>
          <w:szCs w:val="22"/>
        </w:rPr>
        <w:noBreakHyphen/>
        <w:t>8</w:t>
      </w:r>
      <w:r w:rsidR="00437751">
        <w:rPr>
          <w:szCs w:val="22"/>
        </w:rPr>
        <w:t xml:space="preserve"> </w:t>
      </w:r>
      <w:r w:rsidRPr="00831917">
        <w:rPr>
          <w:noProof/>
          <w:szCs w:val="22"/>
        </w:rPr>
        <w:t>°C</w:t>
      </w:r>
      <w:r w:rsidRPr="00831917">
        <w:rPr>
          <w:szCs w:val="22"/>
        </w:rPr>
        <w:t xml:space="preserve"> közötti hőmérsékleten legfeljebb 10 napig tárolható.</w:t>
      </w:r>
    </w:p>
    <w:p w14:paraId="0718B25A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597EC916" w14:textId="43AECA40" w:rsidR="005644C0" w:rsidRDefault="005644C0" w:rsidP="00831917">
      <w:pPr>
        <w:spacing w:line="240" w:lineRule="auto"/>
        <w:rPr>
          <w:szCs w:val="22"/>
        </w:rPr>
      </w:pPr>
      <w:r w:rsidRPr="00831917">
        <w:rPr>
          <w:szCs w:val="22"/>
        </w:rPr>
        <w:t xml:space="preserve">Ha szükséges, a több adagot tartalmazó üvegből </w:t>
      </w:r>
      <w:r w:rsidR="00FF6247">
        <w:rPr>
          <w:szCs w:val="22"/>
        </w:rPr>
        <w:t xml:space="preserve">kimért </w:t>
      </w:r>
      <w:r w:rsidRPr="00831917">
        <w:rPr>
          <w:szCs w:val="22"/>
        </w:rPr>
        <w:t>Zinnat szuszpenzió tovább hígítható hideg gyümölcslével vagy tejes italokkal, majd azonnal el kell fogyasztani.</w:t>
      </w:r>
    </w:p>
    <w:p w14:paraId="2391CE4C" w14:textId="0FEA5FA3" w:rsidR="0009759C" w:rsidRDefault="0009759C" w:rsidP="00831917">
      <w:pPr>
        <w:spacing w:line="240" w:lineRule="auto"/>
        <w:rPr>
          <w:szCs w:val="22"/>
        </w:rPr>
      </w:pPr>
    </w:p>
    <w:p w14:paraId="0567B68D" w14:textId="66D8F5E1" w:rsidR="0009759C" w:rsidRPr="00596EE7" w:rsidRDefault="0009759C" w:rsidP="0009759C">
      <w:pPr>
        <w:spacing w:line="240" w:lineRule="auto"/>
        <w:rPr>
          <w:b/>
          <w:szCs w:val="22"/>
          <w:u w:val="single"/>
        </w:rPr>
      </w:pPr>
      <w:r w:rsidRPr="00596EE7">
        <w:rPr>
          <w:b/>
          <w:bCs/>
          <w:szCs w:val="22"/>
          <w:u w:val="single"/>
        </w:rPr>
        <w:t>Kérjük</w:t>
      </w:r>
      <w:r w:rsidR="00E6177E">
        <w:rPr>
          <w:b/>
          <w:bCs/>
          <w:szCs w:val="22"/>
          <w:u w:val="single"/>
        </w:rPr>
        <w:t>,</w:t>
      </w:r>
      <w:r w:rsidRPr="00596EE7">
        <w:rPr>
          <w:b/>
          <w:bCs/>
          <w:szCs w:val="22"/>
          <w:u w:val="single"/>
        </w:rPr>
        <w:t xml:space="preserve"> vegye figyelembe, hogy az első adag </w:t>
      </w:r>
      <w:r w:rsidR="00E6177E">
        <w:rPr>
          <w:b/>
          <w:bCs/>
          <w:szCs w:val="22"/>
          <w:u w:val="single"/>
        </w:rPr>
        <w:t>alkalmazása</w:t>
      </w:r>
      <w:r w:rsidRPr="00596EE7">
        <w:rPr>
          <w:b/>
          <w:bCs/>
          <w:szCs w:val="22"/>
          <w:u w:val="single"/>
        </w:rPr>
        <w:t xml:space="preserve"> előtt a Zinnat szuszpenzió elkészítéséhez szükséges idő több mint egy óra. Ez magában foglalja azt az időt is</w:t>
      </w:r>
      <w:r w:rsidR="007F2D39">
        <w:rPr>
          <w:b/>
          <w:bCs/>
          <w:szCs w:val="22"/>
          <w:u w:val="single"/>
        </w:rPr>
        <w:t>,</w:t>
      </w:r>
      <w:r w:rsidRPr="00596EE7">
        <w:rPr>
          <w:b/>
          <w:bCs/>
          <w:szCs w:val="22"/>
          <w:u w:val="single"/>
        </w:rPr>
        <w:t xml:space="preserve"> amíg a szuszpenzió leülepedik a hűtőszekrényben.</w:t>
      </w:r>
    </w:p>
    <w:p w14:paraId="6FF53924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2266704E" w14:textId="77777777" w:rsidR="005644C0" w:rsidRPr="00831917" w:rsidRDefault="005644C0" w:rsidP="00831917">
      <w:pPr>
        <w:keepNext/>
        <w:shd w:val="clear" w:color="auto" w:fill="FFFFFF"/>
        <w:spacing w:line="240" w:lineRule="auto"/>
        <w:rPr>
          <w:szCs w:val="22"/>
        </w:rPr>
      </w:pPr>
    </w:p>
    <w:p w14:paraId="4EEF305C" w14:textId="76F33ACA" w:rsidR="005644C0" w:rsidRPr="00831917" w:rsidRDefault="005644C0" w:rsidP="00831917">
      <w:pPr>
        <w:pStyle w:val="Listaszerbekezds"/>
        <w:keepNext/>
        <w:numPr>
          <w:ilvl w:val="0"/>
          <w:numId w:val="14"/>
        </w:numPr>
        <w:shd w:val="clear" w:color="auto" w:fill="FFFFFF"/>
        <w:spacing w:line="240" w:lineRule="auto"/>
        <w:ind w:left="567" w:hanging="567"/>
        <w:rPr>
          <w:szCs w:val="22"/>
        </w:rPr>
      </w:pPr>
      <w:r w:rsidRPr="00831917">
        <w:rPr>
          <w:szCs w:val="22"/>
        </w:rPr>
        <w:t>Rázza fel az üveget, hogy a</w:t>
      </w:r>
      <w:r w:rsidR="00013993">
        <w:rPr>
          <w:szCs w:val="22"/>
        </w:rPr>
        <w:t xml:space="preserve"> tartalma</w:t>
      </w:r>
      <w:r w:rsidRPr="00831917">
        <w:rPr>
          <w:szCs w:val="22"/>
        </w:rPr>
        <w:t xml:space="preserve"> fellazuljon. Vegye le a</w:t>
      </w:r>
      <w:r w:rsidR="0009759C">
        <w:rPr>
          <w:szCs w:val="22"/>
        </w:rPr>
        <w:t>z üvegről</w:t>
      </w:r>
      <w:r w:rsidR="00E6177E">
        <w:rPr>
          <w:szCs w:val="22"/>
        </w:rPr>
        <w:t xml:space="preserve"> a</w:t>
      </w:r>
      <w:r w:rsidRPr="00831917">
        <w:rPr>
          <w:szCs w:val="22"/>
        </w:rPr>
        <w:t xml:space="preserve"> kupakot és a hőforrasztott zárófóliát. Ha ez utóbbi sérült vagy hiányzik, a készítményt vissza kell vinni a gyógyszerésznek.</w:t>
      </w:r>
    </w:p>
    <w:p w14:paraId="491F12F6" w14:textId="7D78F15D" w:rsidR="00C840D5" w:rsidRDefault="00013993" w:rsidP="002A00EC">
      <w:pPr>
        <w:pStyle w:val="Listaszerbekezds"/>
        <w:keepNext/>
        <w:numPr>
          <w:ilvl w:val="0"/>
          <w:numId w:val="14"/>
        </w:numPr>
        <w:shd w:val="clear" w:color="auto" w:fill="FFFFFF"/>
        <w:spacing w:line="240" w:lineRule="auto"/>
        <w:ind w:left="567" w:hanging="567"/>
        <w:rPr>
          <w:szCs w:val="22"/>
        </w:rPr>
      </w:pPr>
      <w:r>
        <w:rPr>
          <w:szCs w:val="22"/>
        </w:rPr>
        <w:t>Öntsön</w:t>
      </w:r>
      <w:r w:rsidR="00490E03">
        <w:rPr>
          <w:szCs w:val="22"/>
        </w:rPr>
        <w:t xml:space="preserve"> </w:t>
      </w:r>
      <w:r w:rsidR="00D85566">
        <w:rPr>
          <w:szCs w:val="22"/>
        </w:rPr>
        <w:t xml:space="preserve">hideg </w:t>
      </w:r>
      <w:r>
        <w:rPr>
          <w:szCs w:val="22"/>
        </w:rPr>
        <w:t>vizet a</w:t>
      </w:r>
      <w:r w:rsidR="00276303">
        <w:rPr>
          <w:szCs w:val="22"/>
        </w:rPr>
        <w:t xml:space="preserve"> mellékelt m</w:t>
      </w:r>
      <w:r>
        <w:rPr>
          <w:szCs w:val="22"/>
        </w:rPr>
        <w:t xml:space="preserve">űanyag </w:t>
      </w:r>
      <w:r w:rsidR="008F5D2C">
        <w:rPr>
          <w:szCs w:val="22"/>
        </w:rPr>
        <w:t>mérő</w:t>
      </w:r>
      <w:r>
        <w:rPr>
          <w:szCs w:val="22"/>
        </w:rPr>
        <w:t>pohárba</w:t>
      </w:r>
      <w:r w:rsidR="008F5D2C">
        <w:rPr>
          <w:szCs w:val="22"/>
        </w:rPr>
        <w:t xml:space="preserve"> (amennyiben a doboz</w:t>
      </w:r>
      <w:r w:rsidR="00276303">
        <w:rPr>
          <w:szCs w:val="22"/>
        </w:rPr>
        <w:t xml:space="preserve"> </w:t>
      </w:r>
      <w:r w:rsidR="008F5D2C">
        <w:rPr>
          <w:szCs w:val="22"/>
        </w:rPr>
        <w:t>tartalmazza</w:t>
      </w:r>
      <w:r w:rsidR="00276303">
        <w:rPr>
          <w:szCs w:val="22"/>
        </w:rPr>
        <w:t>)</w:t>
      </w:r>
      <w:r>
        <w:rPr>
          <w:szCs w:val="22"/>
        </w:rPr>
        <w:t>, a pohár falán lévő jelzővonalig. Ha</w:t>
      </w:r>
      <w:r w:rsidR="00C840D5">
        <w:rPr>
          <w:szCs w:val="22"/>
        </w:rPr>
        <w:t xml:space="preserve"> a vizet előzetesen felforralták, </w:t>
      </w:r>
      <w:r w:rsidR="009106CA">
        <w:rPr>
          <w:szCs w:val="22"/>
        </w:rPr>
        <w:t xml:space="preserve">a hozzáöntés előtt </w:t>
      </w:r>
      <w:r w:rsidR="00C840D5">
        <w:rPr>
          <w:szCs w:val="22"/>
        </w:rPr>
        <w:t>h</w:t>
      </w:r>
      <w:r w:rsidR="000D151E">
        <w:rPr>
          <w:szCs w:val="22"/>
        </w:rPr>
        <w:t>agyni kell, hogy szobahőmérsékletűre hűljön</w:t>
      </w:r>
      <w:r w:rsidR="00C840D5">
        <w:rPr>
          <w:szCs w:val="22"/>
        </w:rPr>
        <w:t xml:space="preserve">. Ne keverje </w:t>
      </w:r>
      <w:r w:rsidR="009B3E38">
        <w:rPr>
          <w:szCs w:val="22"/>
        </w:rPr>
        <w:t xml:space="preserve">össze </w:t>
      </w:r>
      <w:r w:rsidR="00C840D5">
        <w:rPr>
          <w:szCs w:val="22"/>
        </w:rPr>
        <w:t>a Zinn</w:t>
      </w:r>
      <w:r w:rsidR="00490E03">
        <w:rPr>
          <w:szCs w:val="22"/>
        </w:rPr>
        <w:t>a</w:t>
      </w:r>
      <w:r w:rsidR="00C840D5">
        <w:rPr>
          <w:szCs w:val="22"/>
        </w:rPr>
        <w:t xml:space="preserve">t belsőleges szuszpenziót forró vagy meleg folyadékokkal. </w:t>
      </w:r>
      <w:r w:rsidR="000D151E">
        <w:t>Azért kell hideg</w:t>
      </w:r>
      <w:r w:rsidR="00276303">
        <w:rPr>
          <w:rStyle w:val="Jegyzethivatkozs"/>
          <w:lang w:val="x-none"/>
        </w:rPr>
        <w:t xml:space="preserve"> </w:t>
      </w:r>
      <w:r w:rsidR="00276303">
        <w:rPr>
          <w:rStyle w:val="Jegyzethivatkozs"/>
          <w:sz w:val="22"/>
          <w:szCs w:val="22"/>
        </w:rPr>
        <w:t>vizet</w:t>
      </w:r>
      <w:r w:rsidR="000D151E">
        <w:t xml:space="preserve"> használni, mert ez megakadályozza, hogy a szuszpenzió túlzottan sűrűvé váljon.</w:t>
      </w:r>
    </w:p>
    <w:p w14:paraId="48274387" w14:textId="66CBCD1C" w:rsidR="005644C0" w:rsidRPr="00831917" w:rsidRDefault="00C840D5" w:rsidP="00831917">
      <w:pPr>
        <w:pStyle w:val="Listaszerbekezds"/>
        <w:numPr>
          <w:ilvl w:val="0"/>
          <w:numId w:val="14"/>
        </w:numPr>
        <w:shd w:val="clear" w:color="auto" w:fill="FFFFFF"/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Öntse </w:t>
      </w:r>
      <w:r w:rsidR="00B72A2E">
        <w:rPr>
          <w:szCs w:val="22"/>
        </w:rPr>
        <w:t>a</w:t>
      </w:r>
      <w:r w:rsidR="00276303">
        <w:rPr>
          <w:szCs w:val="22"/>
        </w:rPr>
        <w:t xml:space="preserve"> hideg</w:t>
      </w:r>
      <w:r>
        <w:rPr>
          <w:szCs w:val="22"/>
        </w:rPr>
        <w:t xml:space="preserve"> víz teljes mennyiségét az üvegbe. Helyezze vissza a</w:t>
      </w:r>
      <w:r w:rsidR="0009759C">
        <w:rPr>
          <w:szCs w:val="22"/>
        </w:rPr>
        <w:t>z üvegre a</w:t>
      </w:r>
      <w:r>
        <w:rPr>
          <w:szCs w:val="22"/>
        </w:rPr>
        <w:t xml:space="preserve"> kupakot. Hagyja állni az üveget, hogy a víz </w:t>
      </w:r>
      <w:r w:rsidR="008F5D2C">
        <w:rPr>
          <w:szCs w:val="22"/>
        </w:rPr>
        <w:t xml:space="preserve">teljesen </w:t>
      </w:r>
      <w:r>
        <w:rPr>
          <w:szCs w:val="22"/>
        </w:rPr>
        <w:t xml:space="preserve">átitassa a </w:t>
      </w:r>
      <w:r w:rsidR="00490E03">
        <w:rPr>
          <w:szCs w:val="22"/>
        </w:rPr>
        <w:t>szemcséket</w:t>
      </w:r>
      <w:r>
        <w:rPr>
          <w:szCs w:val="22"/>
          <w:lang w:val="en-US"/>
        </w:rPr>
        <w:t>;</w:t>
      </w:r>
      <w:r>
        <w:rPr>
          <w:szCs w:val="22"/>
        </w:rPr>
        <w:t xml:space="preserve"> ez</w:t>
      </w:r>
      <w:r w:rsidR="00490E03">
        <w:rPr>
          <w:szCs w:val="22"/>
        </w:rPr>
        <w:t xml:space="preserve"> körülbelül </w:t>
      </w:r>
      <w:r w:rsidR="00064AB4" w:rsidRPr="00064AB4">
        <w:t>1</w:t>
      </w:r>
      <w:r w:rsidR="00064AB4">
        <w:t> </w:t>
      </w:r>
      <w:r w:rsidRPr="00064AB4">
        <w:t>percet</w:t>
      </w:r>
      <w:r>
        <w:rPr>
          <w:szCs w:val="22"/>
        </w:rPr>
        <w:t xml:space="preserve"> vesz igénybe.</w:t>
      </w:r>
    </w:p>
    <w:p w14:paraId="25567BEB" w14:textId="61D7BF48" w:rsidR="005644C0" w:rsidRPr="00831917" w:rsidRDefault="005644C0" w:rsidP="00831917">
      <w:pPr>
        <w:pStyle w:val="Listaszerbekezds"/>
        <w:numPr>
          <w:ilvl w:val="0"/>
          <w:numId w:val="14"/>
        </w:numPr>
        <w:shd w:val="clear" w:color="auto" w:fill="FFFFFF"/>
        <w:spacing w:line="240" w:lineRule="auto"/>
        <w:ind w:left="567" w:hanging="567"/>
        <w:rPr>
          <w:szCs w:val="22"/>
        </w:rPr>
      </w:pPr>
      <w:r w:rsidRPr="00831917">
        <w:rPr>
          <w:szCs w:val="22"/>
        </w:rPr>
        <w:t xml:space="preserve">Fordítsa </w:t>
      </w:r>
      <w:r w:rsidR="00490E03">
        <w:rPr>
          <w:szCs w:val="22"/>
        </w:rPr>
        <w:t>fejjel lefelé</w:t>
      </w:r>
      <w:r w:rsidRPr="00831917">
        <w:rPr>
          <w:szCs w:val="22"/>
        </w:rPr>
        <w:t xml:space="preserve"> az üveget, és </w:t>
      </w:r>
      <w:r w:rsidR="00B72A2E">
        <w:rPr>
          <w:szCs w:val="22"/>
        </w:rPr>
        <w:t xml:space="preserve">jól </w:t>
      </w:r>
      <w:r w:rsidR="00490E03">
        <w:rPr>
          <w:szCs w:val="22"/>
        </w:rPr>
        <w:t xml:space="preserve">rázza fel </w:t>
      </w:r>
      <w:r w:rsidR="00833313">
        <w:rPr>
          <w:szCs w:val="22"/>
        </w:rPr>
        <w:t>(</w:t>
      </w:r>
      <w:r w:rsidRPr="00831917">
        <w:rPr>
          <w:szCs w:val="22"/>
        </w:rPr>
        <w:t>legalább 15 másodpercig</w:t>
      </w:r>
      <w:r w:rsidR="00C840D5">
        <w:rPr>
          <w:szCs w:val="22"/>
        </w:rPr>
        <w:t>), amíg a granulá</w:t>
      </w:r>
      <w:r w:rsidR="00833313">
        <w:rPr>
          <w:szCs w:val="22"/>
        </w:rPr>
        <w:t xml:space="preserve">tum </w:t>
      </w:r>
      <w:r w:rsidR="00341AFC">
        <w:rPr>
          <w:szCs w:val="22"/>
        </w:rPr>
        <w:t xml:space="preserve">teljes mennyisége </w:t>
      </w:r>
      <w:r w:rsidR="00833313">
        <w:rPr>
          <w:szCs w:val="22"/>
        </w:rPr>
        <w:t>összek</w:t>
      </w:r>
      <w:r w:rsidR="008141DE">
        <w:rPr>
          <w:szCs w:val="22"/>
        </w:rPr>
        <w:t>evered</w:t>
      </w:r>
      <w:r w:rsidR="00833313">
        <w:rPr>
          <w:szCs w:val="22"/>
        </w:rPr>
        <w:t>ik</w:t>
      </w:r>
      <w:r w:rsidR="00C840D5">
        <w:rPr>
          <w:szCs w:val="22"/>
        </w:rPr>
        <w:t xml:space="preserve"> a vízzel.</w:t>
      </w:r>
    </w:p>
    <w:p w14:paraId="01DCB31A" w14:textId="1DCC9F48" w:rsidR="005644C0" w:rsidRPr="00831917" w:rsidRDefault="005644C0" w:rsidP="00831917">
      <w:pPr>
        <w:pStyle w:val="Listaszerbekezds"/>
        <w:numPr>
          <w:ilvl w:val="0"/>
          <w:numId w:val="14"/>
        </w:numPr>
        <w:shd w:val="clear" w:color="auto" w:fill="FFFFFF"/>
        <w:spacing w:line="240" w:lineRule="auto"/>
        <w:ind w:left="567" w:hanging="567"/>
        <w:rPr>
          <w:szCs w:val="22"/>
        </w:rPr>
      </w:pPr>
      <w:r w:rsidRPr="00831917">
        <w:rPr>
          <w:szCs w:val="22"/>
        </w:rPr>
        <w:lastRenderedPageBreak/>
        <w:t xml:space="preserve">Fordítsa vissza az üveget álló helyzetbe, és erősen rázza </w:t>
      </w:r>
      <w:r w:rsidR="00C840D5">
        <w:rPr>
          <w:szCs w:val="22"/>
        </w:rPr>
        <w:t xml:space="preserve">legalább </w:t>
      </w:r>
      <w:r w:rsidR="007E6874">
        <w:rPr>
          <w:szCs w:val="22"/>
        </w:rPr>
        <w:t>1 </w:t>
      </w:r>
      <w:r w:rsidR="00C840D5">
        <w:rPr>
          <w:szCs w:val="22"/>
        </w:rPr>
        <w:t>percig, amíg a</w:t>
      </w:r>
      <w:r w:rsidR="007718A0">
        <w:rPr>
          <w:szCs w:val="22"/>
        </w:rPr>
        <w:t xml:space="preserve"> </w:t>
      </w:r>
      <w:r w:rsidR="00C840D5">
        <w:rPr>
          <w:szCs w:val="22"/>
        </w:rPr>
        <w:t>granul</w:t>
      </w:r>
      <w:r w:rsidR="008F5D2C">
        <w:rPr>
          <w:szCs w:val="22"/>
        </w:rPr>
        <w:t>átum teljes mennyisége</w:t>
      </w:r>
      <w:r w:rsidR="00C840D5">
        <w:rPr>
          <w:szCs w:val="22"/>
        </w:rPr>
        <w:t xml:space="preserve"> </w:t>
      </w:r>
      <w:r w:rsidR="00833313">
        <w:rPr>
          <w:szCs w:val="22"/>
        </w:rPr>
        <w:t>eloszl</w:t>
      </w:r>
      <w:r w:rsidR="007718A0">
        <w:rPr>
          <w:szCs w:val="22"/>
        </w:rPr>
        <w:t>ik</w:t>
      </w:r>
      <w:r w:rsidR="008141DE">
        <w:rPr>
          <w:szCs w:val="22"/>
        </w:rPr>
        <w:t xml:space="preserve"> a vízben.</w:t>
      </w:r>
    </w:p>
    <w:p w14:paraId="0ACF9FED" w14:textId="77777777" w:rsidR="00833313" w:rsidRDefault="00833313" w:rsidP="002A00EC">
      <w:pPr>
        <w:pStyle w:val="Listaszerbekezds"/>
        <w:shd w:val="clear" w:color="auto" w:fill="FFFFFF"/>
        <w:spacing w:line="240" w:lineRule="auto"/>
        <w:ind w:left="0"/>
        <w:rPr>
          <w:szCs w:val="22"/>
        </w:rPr>
      </w:pPr>
    </w:p>
    <w:p w14:paraId="5A36F268" w14:textId="3442900B" w:rsidR="00F36A41" w:rsidRPr="00831917" w:rsidRDefault="00F36A41" w:rsidP="002A00EC">
      <w:pPr>
        <w:pStyle w:val="Listaszerbekezds"/>
        <w:shd w:val="clear" w:color="auto" w:fill="FFFFFF"/>
        <w:spacing w:line="240" w:lineRule="auto"/>
        <w:ind w:left="0"/>
        <w:rPr>
          <w:szCs w:val="22"/>
        </w:rPr>
      </w:pPr>
      <w:r w:rsidRPr="00831917">
        <w:rPr>
          <w:szCs w:val="22"/>
        </w:rPr>
        <w:t>A</w:t>
      </w:r>
      <w:r w:rsidR="007F2D39">
        <w:rPr>
          <w:szCs w:val="22"/>
        </w:rPr>
        <w:t>z elkészített</w:t>
      </w:r>
      <w:r w:rsidRPr="00831917">
        <w:rPr>
          <w:szCs w:val="22"/>
        </w:rPr>
        <w:t xml:space="preserve"> Zinnat szuszpenziót </w:t>
      </w:r>
      <w:r w:rsidR="008141DE">
        <w:rPr>
          <w:szCs w:val="22"/>
        </w:rPr>
        <w:t>azonnal</w:t>
      </w:r>
      <w:r w:rsidRPr="002A00EC">
        <w:rPr>
          <w:bCs/>
          <w:szCs w:val="22"/>
        </w:rPr>
        <w:t xml:space="preserve"> </w:t>
      </w:r>
      <w:r w:rsidR="0009759C">
        <w:rPr>
          <w:bCs/>
          <w:szCs w:val="22"/>
        </w:rPr>
        <w:t xml:space="preserve">hűtőszekrényben, </w:t>
      </w:r>
      <w:r w:rsidRPr="00831917">
        <w:rPr>
          <w:szCs w:val="22"/>
        </w:rPr>
        <w:t>2</w:t>
      </w:r>
      <w:r w:rsidR="00734803">
        <w:rPr>
          <w:szCs w:val="22"/>
        </w:rPr>
        <w:t> </w:t>
      </w:r>
      <w:r w:rsidRPr="00831917">
        <w:rPr>
          <w:noProof/>
          <w:szCs w:val="22"/>
        </w:rPr>
        <w:t>°C</w:t>
      </w:r>
      <w:r w:rsidRPr="00831917">
        <w:rPr>
          <w:szCs w:val="22"/>
        </w:rPr>
        <w:noBreakHyphen/>
        <w:t>8</w:t>
      </w:r>
      <w:r w:rsidR="00734803">
        <w:rPr>
          <w:szCs w:val="22"/>
        </w:rPr>
        <w:t> </w:t>
      </w:r>
      <w:r w:rsidRPr="00831917">
        <w:rPr>
          <w:noProof/>
          <w:szCs w:val="22"/>
        </w:rPr>
        <w:t>°C</w:t>
      </w:r>
      <w:r w:rsidRPr="00831917">
        <w:rPr>
          <w:szCs w:val="22"/>
        </w:rPr>
        <w:t xml:space="preserve"> között</w:t>
      </w:r>
      <w:r w:rsidR="008141DE">
        <w:rPr>
          <w:szCs w:val="22"/>
        </w:rPr>
        <w:t xml:space="preserve"> kell tárolni (fagyasztani tilos), és az első adag bevétele előtt legalább </w:t>
      </w:r>
      <w:r w:rsidR="006874E2">
        <w:rPr>
          <w:szCs w:val="22"/>
        </w:rPr>
        <w:t>1 </w:t>
      </w:r>
      <w:r w:rsidR="008141DE">
        <w:rPr>
          <w:szCs w:val="22"/>
        </w:rPr>
        <w:t xml:space="preserve">órán át állni </w:t>
      </w:r>
      <w:r w:rsidR="00833313">
        <w:rPr>
          <w:szCs w:val="22"/>
        </w:rPr>
        <w:t xml:space="preserve">kell </w:t>
      </w:r>
      <w:r w:rsidR="008141DE">
        <w:rPr>
          <w:szCs w:val="22"/>
        </w:rPr>
        <w:t>hagyni</w:t>
      </w:r>
      <w:r w:rsidR="008141DE" w:rsidRPr="00EA4A41">
        <w:rPr>
          <w:szCs w:val="22"/>
        </w:rPr>
        <w:t>. Az elkészített szuszpenziót</w:t>
      </w:r>
      <w:r w:rsidR="0009759C">
        <w:rPr>
          <w:szCs w:val="22"/>
        </w:rPr>
        <w:t xml:space="preserve"> mindig hűtőszekrényben kell tárolni</w:t>
      </w:r>
      <w:r w:rsidR="008044B4">
        <w:rPr>
          <w:szCs w:val="22"/>
        </w:rPr>
        <w:t>.</w:t>
      </w:r>
      <w:r w:rsidR="0009759C">
        <w:rPr>
          <w:szCs w:val="22"/>
        </w:rPr>
        <w:t xml:space="preserve"> </w:t>
      </w:r>
      <w:r w:rsidR="008141DE" w:rsidRPr="00EA4A41">
        <w:rPr>
          <w:szCs w:val="22"/>
        </w:rPr>
        <w:t>2</w:t>
      </w:r>
      <w:r w:rsidR="00734803">
        <w:rPr>
          <w:szCs w:val="22"/>
        </w:rPr>
        <w:t> </w:t>
      </w:r>
      <w:r w:rsidR="008F5D2C" w:rsidRPr="00EA4A41">
        <w:rPr>
          <w:szCs w:val="22"/>
        </w:rPr>
        <w:t>°C</w:t>
      </w:r>
      <w:r w:rsidR="008F5D2C" w:rsidRPr="00EA4A41">
        <w:rPr>
          <w:szCs w:val="22"/>
        </w:rPr>
        <w:noBreakHyphen/>
      </w:r>
      <w:r w:rsidR="008141DE" w:rsidRPr="00EA4A41">
        <w:rPr>
          <w:szCs w:val="22"/>
        </w:rPr>
        <w:t>8</w:t>
      </w:r>
      <w:r w:rsidR="00734803">
        <w:rPr>
          <w:szCs w:val="22"/>
        </w:rPr>
        <w:t> </w:t>
      </w:r>
      <w:r w:rsidR="00833313" w:rsidRPr="00EA4A41">
        <w:rPr>
          <w:szCs w:val="22"/>
        </w:rPr>
        <w:t>°C</w:t>
      </w:r>
      <w:r w:rsidR="008141DE" w:rsidRPr="00EA4A41">
        <w:rPr>
          <w:szCs w:val="22"/>
        </w:rPr>
        <w:t xml:space="preserve"> között</w:t>
      </w:r>
      <w:r w:rsidR="008044B4">
        <w:rPr>
          <w:szCs w:val="22"/>
        </w:rPr>
        <w:t>i hőmérsékleten hűtve az elkészített szuszpenzió</w:t>
      </w:r>
      <w:r w:rsidR="008141DE" w:rsidRPr="00EA4A41">
        <w:rPr>
          <w:szCs w:val="22"/>
        </w:rPr>
        <w:t xml:space="preserve"> </w:t>
      </w:r>
      <w:r w:rsidR="006F647D" w:rsidRPr="00EA4A41">
        <w:rPr>
          <w:szCs w:val="22"/>
        </w:rPr>
        <w:t>legfeljebb 10 </w:t>
      </w:r>
      <w:r w:rsidR="008141DE" w:rsidRPr="00EA4A41">
        <w:rPr>
          <w:szCs w:val="22"/>
        </w:rPr>
        <w:t xml:space="preserve">napig </w:t>
      </w:r>
      <w:r w:rsidR="008044B4">
        <w:rPr>
          <w:szCs w:val="22"/>
        </w:rPr>
        <w:t>tárolható</w:t>
      </w:r>
      <w:r w:rsidRPr="00EA4A41">
        <w:rPr>
          <w:szCs w:val="22"/>
        </w:rPr>
        <w:t>.</w:t>
      </w:r>
    </w:p>
    <w:p w14:paraId="08FE702B" w14:textId="77777777" w:rsidR="005644C0" w:rsidRDefault="005644C0" w:rsidP="00831917">
      <w:pPr>
        <w:spacing w:line="240" w:lineRule="auto"/>
        <w:rPr>
          <w:szCs w:val="22"/>
        </w:rPr>
      </w:pPr>
    </w:p>
    <w:p w14:paraId="2421D77F" w14:textId="2B0C82CF" w:rsidR="008141DE" w:rsidRDefault="008141DE" w:rsidP="00831917">
      <w:pPr>
        <w:spacing w:line="240" w:lineRule="auto"/>
        <w:rPr>
          <w:szCs w:val="22"/>
        </w:rPr>
      </w:pPr>
      <w:r>
        <w:rPr>
          <w:szCs w:val="22"/>
        </w:rPr>
        <w:t xml:space="preserve">A gyógyszer bevétele előtt mindig rázza fel alaposan az üveget. Az egyes adagok bevételéhez </w:t>
      </w:r>
      <w:r w:rsidR="00602DB9">
        <w:rPr>
          <w:szCs w:val="22"/>
        </w:rPr>
        <w:t xml:space="preserve">adagoló fecskendő vagy </w:t>
      </w:r>
      <w:r w:rsidR="005E16B9">
        <w:rPr>
          <w:szCs w:val="22"/>
        </w:rPr>
        <w:t xml:space="preserve">adagolókanál </w:t>
      </w:r>
      <w:r w:rsidR="006F647D">
        <w:rPr>
          <w:szCs w:val="22"/>
        </w:rPr>
        <w:t>áll rendelkezésre.</w:t>
      </w:r>
    </w:p>
    <w:p w14:paraId="2C41EBDB" w14:textId="40FF6B09" w:rsidR="00602DB9" w:rsidRDefault="00602DB9" w:rsidP="00831917">
      <w:pPr>
        <w:spacing w:line="240" w:lineRule="auto"/>
        <w:rPr>
          <w:szCs w:val="22"/>
        </w:rPr>
      </w:pPr>
    </w:p>
    <w:p w14:paraId="3480D908" w14:textId="77777777" w:rsidR="008D3D49" w:rsidRPr="00D93595" w:rsidRDefault="008D3D49" w:rsidP="008D3D49">
      <w:pPr>
        <w:spacing w:line="240" w:lineRule="auto"/>
        <w:rPr>
          <w:szCs w:val="22"/>
          <w:u w:val="single"/>
        </w:rPr>
      </w:pPr>
      <w:r w:rsidRPr="00D93595">
        <w:rPr>
          <w:szCs w:val="22"/>
          <w:u w:val="single"/>
        </w:rPr>
        <w:t>Az adagoló fecskendő használati útmutatója (ha mellékelve van)</w:t>
      </w:r>
    </w:p>
    <w:p w14:paraId="4E12D575" w14:textId="64937D12" w:rsidR="008D3D49" w:rsidRPr="00D93595" w:rsidRDefault="008D3D49" w:rsidP="00D93595">
      <w:pPr>
        <w:numPr>
          <w:ilvl w:val="0"/>
          <w:numId w:val="42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D93595">
        <w:rPr>
          <w:szCs w:val="22"/>
        </w:rPr>
        <w:t xml:space="preserve">Távolítsa el az üveg kupakját, és helyezze a fecskendő–gyűrű egységet az üveg nyakába. Nyomja teljesen lefelé, amíg a gyűrű szorosan </w:t>
      </w:r>
      <w:r w:rsidR="00E20177">
        <w:rPr>
          <w:szCs w:val="22"/>
        </w:rPr>
        <w:t>bele</w:t>
      </w:r>
      <w:r w:rsidRPr="00D93595">
        <w:rPr>
          <w:szCs w:val="22"/>
        </w:rPr>
        <w:t>illeszkedik az üveg nyakába. Fordítsa fejjel lefelé az üveget és a fecskendőt.</w:t>
      </w:r>
    </w:p>
    <w:p w14:paraId="4393C345" w14:textId="2106BCB6" w:rsidR="008D3D49" w:rsidRPr="00D93595" w:rsidRDefault="008D3D49" w:rsidP="00D93595">
      <w:pPr>
        <w:numPr>
          <w:ilvl w:val="0"/>
          <w:numId w:val="42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D93595">
        <w:rPr>
          <w:szCs w:val="22"/>
        </w:rPr>
        <w:t xml:space="preserve">Húzza </w:t>
      </w:r>
      <w:r w:rsidR="00E20177">
        <w:rPr>
          <w:szCs w:val="22"/>
        </w:rPr>
        <w:t>vissza</w:t>
      </w:r>
      <w:r w:rsidRPr="00D93595">
        <w:rPr>
          <w:szCs w:val="22"/>
        </w:rPr>
        <w:t xml:space="preserve"> a dugattyút a hengerből addig, amíg a henger pereme egy vonalba nem kerül a dugattyún lévő, a szükséges adag</w:t>
      </w:r>
      <w:r w:rsidR="00E20177">
        <w:rPr>
          <w:szCs w:val="22"/>
        </w:rPr>
        <w:t>hoz tartozó</w:t>
      </w:r>
      <w:r w:rsidRPr="00D93595">
        <w:rPr>
          <w:szCs w:val="22"/>
        </w:rPr>
        <w:t xml:space="preserve"> jellel.</w:t>
      </w:r>
    </w:p>
    <w:p w14:paraId="16B6F8C6" w14:textId="77777777" w:rsidR="008D3D49" w:rsidRPr="00D93595" w:rsidRDefault="008D3D49" w:rsidP="00D93595">
      <w:pPr>
        <w:numPr>
          <w:ilvl w:val="0"/>
          <w:numId w:val="42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D93595">
        <w:rPr>
          <w:szCs w:val="22"/>
        </w:rPr>
        <w:t>Fordítsa vissza az üveget és a fecskendőt függőleges helyzetbe. A fecskendőt és a dugattyút egyaránt tartva – hogy a dugattyú ne mozduljon el – vegye ki a fecskendőt az üvegből, a műanyag gyűrűt azonban hagyja az üveg nyakában.</w:t>
      </w:r>
    </w:p>
    <w:p w14:paraId="04727B15" w14:textId="1A8245BF" w:rsidR="008D3D49" w:rsidRPr="00D93595" w:rsidRDefault="008D3D49" w:rsidP="00D93595">
      <w:pPr>
        <w:numPr>
          <w:ilvl w:val="0"/>
          <w:numId w:val="42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D93595">
        <w:rPr>
          <w:szCs w:val="22"/>
        </w:rPr>
        <w:t>A beteget ül</w:t>
      </w:r>
      <w:r w:rsidR="00B1702F">
        <w:rPr>
          <w:szCs w:val="22"/>
        </w:rPr>
        <w:t>ő</w:t>
      </w:r>
      <w:r w:rsidRPr="00D93595">
        <w:rPr>
          <w:szCs w:val="22"/>
        </w:rPr>
        <w:t xml:space="preserve">, függőleges </w:t>
      </w:r>
      <w:r w:rsidR="00B1702F">
        <w:rPr>
          <w:szCs w:val="22"/>
        </w:rPr>
        <w:t>test</w:t>
      </w:r>
      <w:r w:rsidRPr="00D93595">
        <w:rPr>
          <w:szCs w:val="22"/>
        </w:rPr>
        <w:t xml:space="preserve">helyzetben tartva helyezze a fecskendő végét </w:t>
      </w:r>
      <w:r w:rsidR="00E20177">
        <w:rPr>
          <w:szCs w:val="22"/>
        </w:rPr>
        <w:t>éppen</w:t>
      </w:r>
      <w:r w:rsidR="00A44986">
        <w:rPr>
          <w:szCs w:val="22"/>
        </w:rPr>
        <w:t xml:space="preserve"> </w:t>
      </w:r>
      <w:r w:rsidR="00E20177">
        <w:rPr>
          <w:szCs w:val="22"/>
        </w:rPr>
        <w:t xml:space="preserve">csak </w:t>
      </w:r>
      <w:r w:rsidRPr="00D93595">
        <w:rPr>
          <w:szCs w:val="22"/>
        </w:rPr>
        <w:t>a beteg szájába, a</w:t>
      </w:r>
      <w:r w:rsidR="006E5650">
        <w:rPr>
          <w:szCs w:val="22"/>
        </w:rPr>
        <w:t>z orca</w:t>
      </w:r>
      <w:r w:rsidRPr="00D93595">
        <w:rPr>
          <w:szCs w:val="22"/>
        </w:rPr>
        <w:t xml:space="preserve"> belső oldala felé irányítva.</w:t>
      </w:r>
    </w:p>
    <w:p w14:paraId="36E87C1E" w14:textId="12BA69A3" w:rsidR="008D3D49" w:rsidRPr="00D93595" w:rsidRDefault="008D3D49" w:rsidP="00D93595">
      <w:pPr>
        <w:numPr>
          <w:ilvl w:val="0"/>
          <w:numId w:val="42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D93595">
        <w:rPr>
          <w:szCs w:val="22"/>
        </w:rPr>
        <w:t xml:space="preserve">A dugattyút lassan nyomja be, hogy a gyógyszer kiürüljön, de ne okozzon fulladást. </w:t>
      </w:r>
      <w:r w:rsidRPr="00D93595">
        <w:rPr>
          <w:b/>
          <w:bCs/>
          <w:szCs w:val="22"/>
        </w:rPr>
        <w:t>NE</w:t>
      </w:r>
      <w:r w:rsidR="00E20177">
        <w:rPr>
          <w:szCs w:val="22"/>
        </w:rPr>
        <w:t> </w:t>
      </w:r>
      <w:r w:rsidRPr="00D93595">
        <w:rPr>
          <w:szCs w:val="22"/>
        </w:rPr>
        <w:t>spriccelje ki a gyógyszert sugárban.</w:t>
      </w:r>
    </w:p>
    <w:p w14:paraId="3E25C103" w14:textId="14733D00" w:rsidR="008D3D49" w:rsidRPr="00E20177" w:rsidRDefault="008D3D49" w:rsidP="00D93595">
      <w:pPr>
        <w:numPr>
          <w:ilvl w:val="0"/>
          <w:numId w:val="42"/>
        </w:numPr>
        <w:tabs>
          <w:tab w:val="clear" w:pos="720"/>
        </w:tabs>
        <w:spacing w:line="240" w:lineRule="auto"/>
        <w:ind w:left="567" w:hanging="567"/>
        <w:rPr>
          <w:szCs w:val="22"/>
        </w:rPr>
      </w:pPr>
      <w:r w:rsidRPr="00D93595">
        <w:rPr>
          <w:szCs w:val="22"/>
        </w:rPr>
        <w:t>Az adag beadása után tegye vissza az üveg kupakját anélkül, hogy eltávolítaná a műanyag gyűrűt. Szerelje szét a fecskendőt, és alaposan mossa el tiszta vízben. Hagyja a dugattyút és a hengert természetes módon megszáradni.</w:t>
      </w:r>
    </w:p>
    <w:p w14:paraId="4154ED9E" w14:textId="77777777" w:rsidR="008141DE" w:rsidRPr="00831917" w:rsidRDefault="008141DE" w:rsidP="00831917">
      <w:pPr>
        <w:spacing w:line="240" w:lineRule="auto"/>
        <w:rPr>
          <w:szCs w:val="22"/>
        </w:rPr>
      </w:pPr>
    </w:p>
    <w:p w14:paraId="722C8F00" w14:textId="3E31B449" w:rsidR="000D7B1F" w:rsidRPr="007A745B" w:rsidRDefault="000D7B1F" w:rsidP="00831917">
      <w:pPr>
        <w:spacing w:line="240" w:lineRule="auto"/>
        <w:rPr>
          <w:szCs w:val="22"/>
        </w:rPr>
      </w:pPr>
      <w:r w:rsidRPr="007A745B">
        <w:rPr>
          <w:b/>
          <w:szCs w:val="22"/>
        </w:rPr>
        <w:t xml:space="preserve">Megjegyzés: </w:t>
      </w:r>
      <w:r w:rsidR="007A745B" w:rsidRPr="007A745B">
        <w:rPr>
          <w:szCs w:val="22"/>
        </w:rPr>
        <w:sym w:font="Wingdings" w:char="F058"/>
      </w:r>
      <w:r w:rsidR="007A745B" w:rsidRPr="007A745B">
        <w:rPr>
          <w:szCs w:val="22"/>
        </w:rPr>
        <w:sym w:font="Wingdings" w:char="F058"/>
      </w:r>
      <w:r w:rsidRPr="007A745B">
        <w:rPr>
          <w:szCs w:val="22"/>
        </w:rPr>
        <w:t xml:space="preserve"> (két kereszt)</w:t>
      </w:r>
    </w:p>
    <w:p w14:paraId="3276F394" w14:textId="77777777" w:rsidR="000D7B1F" w:rsidRPr="00831917" w:rsidRDefault="000D7B1F" w:rsidP="00831917">
      <w:pPr>
        <w:tabs>
          <w:tab w:val="left" w:pos="2410"/>
        </w:tabs>
        <w:spacing w:line="240" w:lineRule="auto"/>
        <w:rPr>
          <w:szCs w:val="22"/>
        </w:rPr>
      </w:pPr>
      <w:r w:rsidRPr="00831917">
        <w:rPr>
          <w:szCs w:val="22"/>
        </w:rPr>
        <w:t xml:space="preserve">Osztályozás: </w:t>
      </w:r>
      <w:r w:rsidRPr="00831917">
        <w:rPr>
          <w:b/>
          <w:szCs w:val="22"/>
        </w:rPr>
        <w:t>II. csoport</w:t>
      </w:r>
    </w:p>
    <w:p w14:paraId="186B42EB" w14:textId="77777777" w:rsidR="000D7B1F" w:rsidRPr="00831917" w:rsidRDefault="000D7B1F" w:rsidP="00831917">
      <w:pPr>
        <w:spacing w:line="240" w:lineRule="auto"/>
        <w:rPr>
          <w:szCs w:val="22"/>
        </w:rPr>
      </w:pPr>
      <w:r w:rsidRPr="00831917">
        <w:rPr>
          <w:szCs w:val="22"/>
        </w:rPr>
        <w:t>Kizárólag orvosi rendelvényhez kötött gyógyszer (V).</w:t>
      </w:r>
    </w:p>
    <w:p w14:paraId="65F2F627" w14:textId="77777777" w:rsidR="000D7B1F" w:rsidRPr="00831917" w:rsidRDefault="000D7B1F" w:rsidP="00831917">
      <w:pPr>
        <w:spacing w:line="240" w:lineRule="auto"/>
        <w:rPr>
          <w:szCs w:val="22"/>
        </w:rPr>
      </w:pPr>
    </w:p>
    <w:p w14:paraId="34DA2CA1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0EEFCFF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7.</w:t>
      </w:r>
      <w:r w:rsidRPr="00831917">
        <w:rPr>
          <w:b/>
          <w:szCs w:val="22"/>
        </w:rPr>
        <w:tab/>
        <w:t>A FORGALOMBA HOZATALI ENGEDÉLY JOGOSULTJA</w:t>
      </w:r>
    </w:p>
    <w:p w14:paraId="5B6C9AAD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7E0A0748" w14:textId="77777777" w:rsidR="00F00F8F" w:rsidRPr="005130D5" w:rsidRDefault="00F00F8F" w:rsidP="00F00F8F">
      <w:pPr>
        <w:spacing w:line="240" w:lineRule="auto"/>
      </w:pPr>
      <w:r w:rsidRPr="005130D5">
        <w:t>Sandoz Hungária Kft.</w:t>
      </w:r>
    </w:p>
    <w:p w14:paraId="61C64BD7" w14:textId="77777777" w:rsidR="00F00F8F" w:rsidRPr="005130D5" w:rsidRDefault="00F00F8F" w:rsidP="00F00F8F">
      <w:pPr>
        <w:spacing w:line="240" w:lineRule="auto"/>
      </w:pPr>
      <w:r w:rsidRPr="005130D5">
        <w:t>1114 Budapest</w:t>
      </w:r>
    </w:p>
    <w:p w14:paraId="0F586C85" w14:textId="77777777" w:rsidR="00F00F8F" w:rsidRPr="005130D5" w:rsidRDefault="00F00F8F" w:rsidP="00F00F8F">
      <w:pPr>
        <w:spacing w:line="240" w:lineRule="auto"/>
      </w:pPr>
      <w:r w:rsidRPr="005130D5">
        <w:t>Bartók Béla u. 43-47.</w:t>
      </w:r>
    </w:p>
    <w:p w14:paraId="4E47F5FE" w14:textId="77777777" w:rsidR="00F00F8F" w:rsidRDefault="00F00F8F" w:rsidP="00F00F8F">
      <w:pPr>
        <w:spacing w:line="240" w:lineRule="auto"/>
      </w:pPr>
      <w:r w:rsidRPr="005130D5">
        <w:t>Magyarország</w:t>
      </w:r>
    </w:p>
    <w:p w14:paraId="1423D351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3D6E8E16" w14:textId="77777777" w:rsidR="000D7B1F" w:rsidRPr="00831917" w:rsidRDefault="000D7B1F" w:rsidP="00831917">
      <w:pPr>
        <w:spacing w:line="240" w:lineRule="auto"/>
        <w:rPr>
          <w:szCs w:val="22"/>
        </w:rPr>
      </w:pPr>
    </w:p>
    <w:p w14:paraId="554DBCA8" w14:textId="77777777" w:rsidR="005644C0" w:rsidRPr="00831917" w:rsidRDefault="005644C0" w:rsidP="00831917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8.</w:t>
      </w:r>
      <w:r w:rsidRPr="00831917">
        <w:rPr>
          <w:b/>
          <w:szCs w:val="22"/>
        </w:rPr>
        <w:tab/>
        <w:t>A FORGALOMBA HOZATALI ENGEDÉLY SZÁMA(I)</w:t>
      </w:r>
    </w:p>
    <w:p w14:paraId="224B4AA1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</w:p>
    <w:p w14:paraId="3D7AD4E9" w14:textId="789CCF4F" w:rsidR="00632EFA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OGYI-T-1399/01</w:t>
      </w:r>
      <w:r w:rsidRPr="00831917">
        <w:rPr>
          <w:szCs w:val="22"/>
        </w:rPr>
        <w:tab/>
      </w:r>
      <w:r w:rsidRPr="00831917">
        <w:rPr>
          <w:szCs w:val="22"/>
        </w:rPr>
        <w:tab/>
        <w:t>(Zinnat 125 mg filmtabletta</w:t>
      </w:r>
      <w:r w:rsidR="00322158" w:rsidRPr="00831917">
        <w:rPr>
          <w:szCs w:val="22"/>
        </w:rPr>
        <w:tab/>
        <w:t>10</w:t>
      </w:r>
      <w:r w:rsidR="00435C1E">
        <w:rPr>
          <w:szCs w:val="22"/>
        </w:rPr>
        <w:t>×</w:t>
      </w:r>
      <w:r w:rsidRPr="00831917">
        <w:rPr>
          <w:szCs w:val="22"/>
        </w:rPr>
        <w:t>)</w:t>
      </w:r>
    </w:p>
    <w:p w14:paraId="2C46C0FE" w14:textId="32CA02D2" w:rsidR="00632EFA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OGYI-T-1400/01</w:t>
      </w:r>
      <w:r w:rsidRPr="00831917">
        <w:rPr>
          <w:szCs w:val="22"/>
        </w:rPr>
        <w:tab/>
      </w:r>
      <w:r w:rsidRPr="00831917">
        <w:rPr>
          <w:szCs w:val="22"/>
        </w:rPr>
        <w:tab/>
        <w:t>(Zinnat 250 mg filmtabletta</w:t>
      </w:r>
      <w:r w:rsidR="00322158" w:rsidRPr="00831917">
        <w:rPr>
          <w:szCs w:val="22"/>
        </w:rPr>
        <w:tab/>
        <w:t>10</w:t>
      </w:r>
      <w:r w:rsidR="00435C1E">
        <w:rPr>
          <w:szCs w:val="22"/>
        </w:rPr>
        <w:t>×</w:t>
      </w:r>
      <w:r w:rsidRPr="00831917">
        <w:rPr>
          <w:szCs w:val="22"/>
        </w:rPr>
        <w:t>)</w:t>
      </w:r>
    </w:p>
    <w:p w14:paraId="31669BA7" w14:textId="0ADB10ED" w:rsidR="00632EFA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OGYI-T-1401/01</w:t>
      </w:r>
      <w:r w:rsidRPr="00831917">
        <w:rPr>
          <w:szCs w:val="22"/>
        </w:rPr>
        <w:tab/>
      </w:r>
      <w:r w:rsidRPr="00831917">
        <w:rPr>
          <w:szCs w:val="22"/>
        </w:rPr>
        <w:tab/>
        <w:t>(Zinnat 500 mg filmtabletta</w:t>
      </w:r>
      <w:r w:rsidR="00322158" w:rsidRPr="00831917">
        <w:rPr>
          <w:szCs w:val="22"/>
        </w:rPr>
        <w:tab/>
        <w:t>10</w:t>
      </w:r>
      <w:r w:rsidR="00435C1E">
        <w:rPr>
          <w:szCs w:val="22"/>
        </w:rPr>
        <w:t>×</w:t>
      </w:r>
      <w:r w:rsidRPr="00831917">
        <w:rPr>
          <w:szCs w:val="22"/>
        </w:rPr>
        <w:t>)</w:t>
      </w:r>
    </w:p>
    <w:p w14:paraId="486E252B" w14:textId="11251763" w:rsidR="00632EFA" w:rsidRPr="00831917" w:rsidRDefault="00632EFA" w:rsidP="00831917">
      <w:pPr>
        <w:spacing w:line="240" w:lineRule="auto"/>
        <w:rPr>
          <w:szCs w:val="22"/>
        </w:rPr>
      </w:pPr>
      <w:r w:rsidRPr="00831917">
        <w:rPr>
          <w:szCs w:val="22"/>
        </w:rPr>
        <w:t>OGYI-T-1830/01</w:t>
      </w:r>
      <w:r w:rsidRPr="00831917">
        <w:rPr>
          <w:szCs w:val="22"/>
        </w:rPr>
        <w:tab/>
      </w:r>
      <w:r w:rsidRPr="00831917">
        <w:rPr>
          <w:szCs w:val="22"/>
        </w:rPr>
        <w:tab/>
        <w:t>(Zinnat 125 mg/5 ml granulátum szuszpenzióhoz</w:t>
      </w:r>
      <w:r w:rsidR="0088644D" w:rsidRPr="00831917">
        <w:rPr>
          <w:szCs w:val="22"/>
        </w:rPr>
        <w:tab/>
        <w:t>1</w:t>
      </w:r>
      <w:r w:rsidR="00435C1E">
        <w:rPr>
          <w:szCs w:val="22"/>
        </w:rPr>
        <w:t>×</w:t>
      </w:r>
      <w:r w:rsidR="0088644D" w:rsidRPr="00831917">
        <w:rPr>
          <w:szCs w:val="22"/>
        </w:rPr>
        <w:t>50 ml-hez</w:t>
      </w:r>
      <w:r w:rsidRPr="00831917">
        <w:rPr>
          <w:szCs w:val="22"/>
        </w:rPr>
        <w:t>)</w:t>
      </w:r>
    </w:p>
    <w:p w14:paraId="4494B1BF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1773BF09" w14:textId="77777777" w:rsidR="005644C0" w:rsidRPr="00831917" w:rsidRDefault="005644C0" w:rsidP="00831917">
      <w:pPr>
        <w:spacing w:line="240" w:lineRule="auto"/>
        <w:rPr>
          <w:szCs w:val="22"/>
        </w:rPr>
      </w:pPr>
    </w:p>
    <w:p w14:paraId="4E747D28" w14:textId="77777777" w:rsidR="005644C0" w:rsidRPr="00831917" w:rsidRDefault="005644C0" w:rsidP="00EA4E0F">
      <w:pPr>
        <w:keepNext/>
        <w:spacing w:line="240" w:lineRule="auto"/>
        <w:ind w:left="567" w:hanging="567"/>
        <w:rPr>
          <w:b/>
          <w:szCs w:val="22"/>
        </w:rPr>
      </w:pPr>
      <w:r w:rsidRPr="00831917">
        <w:rPr>
          <w:b/>
          <w:szCs w:val="22"/>
        </w:rPr>
        <w:t>9.</w:t>
      </w:r>
      <w:r w:rsidRPr="00831917">
        <w:rPr>
          <w:b/>
          <w:szCs w:val="22"/>
        </w:rPr>
        <w:tab/>
        <w:t>A FORGALOMBA HOZATALI ENGEDÉLY ELSŐ KIADÁSÁNAK/ MEGÚJÍTÁSÁNAK DÁTUMA</w:t>
      </w:r>
    </w:p>
    <w:p w14:paraId="65F24CE8" w14:textId="77777777" w:rsidR="005644C0" w:rsidRPr="00831917" w:rsidRDefault="005644C0" w:rsidP="00E45427">
      <w:pPr>
        <w:keepNext/>
        <w:spacing w:line="240" w:lineRule="auto"/>
        <w:ind w:left="567" w:hanging="567"/>
        <w:rPr>
          <w:szCs w:val="22"/>
        </w:rPr>
      </w:pPr>
    </w:p>
    <w:p w14:paraId="1B7D5745" w14:textId="77777777" w:rsidR="00964867" w:rsidRPr="00697381" w:rsidRDefault="00964867" w:rsidP="009855BA">
      <w:pPr>
        <w:keepNext/>
        <w:spacing w:line="240" w:lineRule="auto"/>
        <w:rPr>
          <w:bCs/>
          <w:szCs w:val="22"/>
          <w:u w:val="single"/>
        </w:rPr>
      </w:pPr>
      <w:r w:rsidRPr="00697381">
        <w:rPr>
          <w:bCs/>
          <w:szCs w:val="22"/>
          <w:u w:val="single"/>
        </w:rPr>
        <w:t>Zinnat 125 mg filmtabletta</w:t>
      </w:r>
    </w:p>
    <w:p w14:paraId="3289B6A0" w14:textId="77777777" w:rsidR="00964867" w:rsidRPr="00697381" w:rsidRDefault="00964867" w:rsidP="009855BA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>Zinnat 250 mg filmtabletta</w:t>
      </w:r>
    </w:p>
    <w:p w14:paraId="682FF9AE" w14:textId="77777777" w:rsidR="00964867" w:rsidRPr="00697381" w:rsidRDefault="00964867" w:rsidP="009855BA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 xml:space="preserve">Zinnat 500 mg filmtabletta </w:t>
      </w:r>
    </w:p>
    <w:p w14:paraId="138A7516" w14:textId="77777777" w:rsidR="000D7B1F" w:rsidRPr="00831917" w:rsidRDefault="000D7B1F" w:rsidP="009855BA">
      <w:pPr>
        <w:keepNext/>
        <w:spacing w:line="240" w:lineRule="auto"/>
        <w:rPr>
          <w:szCs w:val="22"/>
        </w:rPr>
      </w:pPr>
      <w:r w:rsidRPr="00831917">
        <w:rPr>
          <w:noProof/>
          <w:szCs w:val="22"/>
          <w:lang w:eastAsia="en-US"/>
        </w:rPr>
        <w:t xml:space="preserve">A forgalomba hozatali engedély első kiadásának dátuma: </w:t>
      </w:r>
      <w:r w:rsidR="00964867" w:rsidRPr="00831917">
        <w:rPr>
          <w:szCs w:val="22"/>
        </w:rPr>
        <w:t>19</w:t>
      </w:r>
      <w:r w:rsidR="002C729B" w:rsidRPr="00831917">
        <w:rPr>
          <w:szCs w:val="22"/>
        </w:rPr>
        <w:t>89</w:t>
      </w:r>
      <w:r w:rsidR="00964867" w:rsidRPr="00831917">
        <w:rPr>
          <w:szCs w:val="22"/>
        </w:rPr>
        <w:t>.</w:t>
      </w:r>
      <w:r w:rsidRPr="00831917">
        <w:rPr>
          <w:szCs w:val="22"/>
        </w:rPr>
        <w:t xml:space="preserve"> január 1.</w:t>
      </w:r>
    </w:p>
    <w:p w14:paraId="41BA7D8C" w14:textId="17D27AE4" w:rsidR="00964867" w:rsidRPr="00831917" w:rsidRDefault="000D7B1F" w:rsidP="00831917">
      <w:pPr>
        <w:spacing w:line="240" w:lineRule="auto"/>
        <w:rPr>
          <w:szCs w:val="22"/>
        </w:rPr>
      </w:pPr>
      <w:r w:rsidRPr="00831917">
        <w:rPr>
          <w:noProof/>
          <w:szCs w:val="22"/>
          <w:lang w:eastAsia="en-US"/>
        </w:rPr>
        <w:t>A forgalomba hozatali engedély legutóbbi megújításának dátuma:</w:t>
      </w:r>
      <w:r w:rsidR="007A745B">
        <w:rPr>
          <w:noProof/>
          <w:szCs w:val="22"/>
          <w:lang w:eastAsia="en-US"/>
        </w:rPr>
        <w:t xml:space="preserve"> </w:t>
      </w:r>
      <w:r w:rsidR="009A6484" w:rsidRPr="00831917">
        <w:rPr>
          <w:szCs w:val="22"/>
        </w:rPr>
        <w:t>2007. november 15</w:t>
      </w:r>
      <w:r w:rsidR="00964867" w:rsidRPr="00831917">
        <w:rPr>
          <w:szCs w:val="22"/>
        </w:rPr>
        <w:t>.</w:t>
      </w:r>
    </w:p>
    <w:p w14:paraId="2A6F3250" w14:textId="77777777" w:rsidR="00964867" w:rsidRPr="00831917" w:rsidRDefault="00964867" w:rsidP="00831917">
      <w:pPr>
        <w:spacing w:line="240" w:lineRule="auto"/>
        <w:rPr>
          <w:szCs w:val="22"/>
        </w:rPr>
      </w:pPr>
    </w:p>
    <w:p w14:paraId="06E9E15C" w14:textId="29D4783C" w:rsidR="00964867" w:rsidRPr="00697381" w:rsidRDefault="00964867" w:rsidP="00831917">
      <w:pPr>
        <w:keepNext/>
        <w:spacing w:line="240" w:lineRule="auto"/>
        <w:rPr>
          <w:szCs w:val="22"/>
          <w:u w:val="single"/>
        </w:rPr>
      </w:pPr>
      <w:r w:rsidRPr="00697381">
        <w:rPr>
          <w:szCs w:val="22"/>
          <w:u w:val="single"/>
        </w:rPr>
        <w:t xml:space="preserve">Zinnat 125 mg/5 ml </w:t>
      </w:r>
      <w:r w:rsidR="008C04A0" w:rsidRPr="008C04A0">
        <w:rPr>
          <w:szCs w:val="22"/>
          <w:u w:val="single"/>
        </w:rPr>
        <w:t>granulátum belsőleges szuszpenzióhoz</w:t>
      </w:r>
    </w:p>
    <w:p w14:paraId="55774609" w14:textId="107D1526" w:rsidR="000D7B1F" w:rsidRPr="00831917" w:rsidRDefault="000D7B1F" w:rsidP="00831917">
      <w:pPr>
        <w:keepNext/>
        <w:spacing w:line="240" w:lineRule="auto"/>
        <w:rPr>
          <w:szCs w:val="22"/>
        </w:rPr>
      </w:pPr>
      <w:r w:rsidRPr="00831917">
        <w:rPr>
          <w:noProof/>
          <w:szCs w:val="22"/>
          <w:lang w:eastAsia="en-US"/>
        </w:rPr>
        <w:t xml:space="preserve">A forgalomba hozatali engedély első kiadásának dátuma: </w:t>
      </w:r>
      <w:r w:rsidR="00964867" w:rsidRPr="00831917">
        <w:rPr>
          <w:szCs w:val="22"/>
        </w:rPr>
        <w:t>1992.</w:t>
      </w:r>
      <w:r w:rsidR="009855BA">
        <w:rPr>
          <w:szCs w:val="22"/>
        </w:rPr>
        <w:t xml:space="preserve"> </w:t>
      </w:r>
      <w:r w:rsidR="00F81952" w:rsidRPr="00CF6B6C">
        <w:rPr>
          <w:rStyle w:val="Jegyzethivatkozs"/>
          <w:rFonts w:cs="Mangal"/>
          <w:sz w:val="22"/>
          <w:szCs w:val="22"/>
          <w:lang w:bidi="hi-IN"/>
        </w:rPr>
        <w:t>január 1</w:t>
      </w:r>
      <w:r w:rsidRPr="00F81952">
        <w:rPr>
          <w:szCs w:val="22"/>
        </w:rPr>
        <w:t>.</w:t>
      </w:r>
    </w:p>
    <w:p w14:paraId="5BC6A946" w14:textId="5C9E6159" w:rsidR="00964867" w:rsidRPr="00831917" w:rsidRDefault="000D7B1F" w:rsidP="00831917">
      <w:pPr>
        <w:spacing w:line="240" w:lineRule="auto"/>
        <w:rPr>
          <w:szCs w:val="22"/>
        </w:rPr>
      </w:pPr>
      <w:r w:rsidRPr="00831917">
        <w:rPr>
          <w:noProof/>
          <w:szCs w:val="22"/>
          <w:lang w:eastAsia="en-US"/>
        </w:rPr>
        <w:t>A forgalomba hozatali engedély legutóbbi megújításának dátuma:</w:t>
      </w:r>
      <w:r w:rsidR="007A745B">
        <w:rPr>
          <w:noProof/>
          <w:szCs w:val="22"/>
          <w:lang w:eastAsia="en-US"/>
        </w:rPr>
        <w:t xml:space="preserve"> </w:t>
      </w:r>
      <w:r w:rsidR="009A6484" w:rsidRPr="00831917">
        <w:rPr>
          <w:szCs w:val="22"/>
        </w:rPr>
        <w:t>2007.</w:t>
      </w:r>
      <w:r w:rsidR="009855BA">
        <w:rPr>
          <w:szCs w:val="22"/>
        </w:rPr>
        <w:t xml:space="preserve"> </w:t>
      </w:r>
      <w:r w:rsidR="009A6484" w:rsidRPr="00831917">
        <w:rPr>
          <w:szCs w:val="22"/>
        </w:rPr>
        <w:t>november 15</w:t>
      </w:r>
      <w:r w:rsidR="00964867" w:rsidRPr="00831917">
        <w:rPr>
          <w:szCs w:val="22"/>
        </w:rPr>
        <w:t>.</w:t>
      </w:r>
    </w:p>
    <w:p w14:paraId="6F58D2BF" w14:textId="77777777" w:rsidR="00964867" w:rsidRPr="00831917" w:rsidRDefault="00964867" w:rsidP="00831917">
      <w:pPr>
        <w:spacing w:line="240" w:lineRule="auto"/>
        <w:rPr>
          <w:szCs w:val="22"/>
        </w:rPr>
      </w:pPr>
    </w:p>
    <w:p w14:paraId="3D99CDF1" w14:textId="77777777" w:rsidR="00964867" w:rsidRPr="00831917" w:rsidRDefault="00964867" w:rsidP="00831917">
      <w:pPr>
        <w:spacing w:line="240" w:lineRule="auto"/>
        <w:rPr>
          <w:b/>
          <w:bCs/>
          <w:szCs w:val="22"/>
        </w:rPr>
      </w:pPr>
    </w:p>
    <w:p w14:paraId="507E6766" w14:textId="77777777" w:rsidR="005644C0" w:rsidRPr="00831917" w:rsidRDefault="005644C0" w:rsidP="00831917">
      <w:pPr>
        <w:keepNext/>
        <w:spacing w:line="240" w:lineRule="auto"/>
        <w:rPr>
          <w:szCs w:val="22"/>
        </w:rPr>
      </w:pPr>
      <w:r w:rsidRPr="00831917">
        <w:rPr>
          <w:b/>
          <w:szCs w:val="22"/>
        </w:rPr>
        <w:t>10.</w:t>
      </w:r>
      <w:r w:rsidRPr="00831917">
        <w:rPr>
          <w:b/>
          <w:szCs w:val="22"/>
        </w:rPr>
        <w:tab/>
        <w:t>A SZÖVEG ELLENŐRZÉSÉNEK DÁTUMA</w:t>
      </w:r>
    </w:p>
    <w:p w14:paraId="59DAE517" w14:textId="77777777" w:rsidR="007A745B" w:rsidRDefault="007A745B" w:rsidP="00831917">
      <w:pPr>
        <w:spacing w:line="240" w:lineRule="auto"/>
        <w:rPr>
          <w:noProof/>
          <w:szCs w:val="22"/>
        </w:rPr>
      </w:pPr>
    </w:p>
    <w:p w14:paraId="50637CEA" w14:textId="7AF0F687" w:rsidR="00B63C16" w:rsidRDefault="00B63C16" w:rsidP="00831917">
      <w:pPr>
        <w:spacing w:line="240" w:lineRule="auto"/>
        <w:rPr>
          <w:szCs w:val="22"/>
        </w:rPr>
      </w:pPr>
      <w:r>
        <w:rPr>
          <w:szCs w:val="22"/>
        </w:rPr>
        <w:t>2026. január 20.</w:t>
      </w:r>
    </w:p>
    <w:p w14:paraId="22825409" w14:textId="77777777" w:rsidR="004F3B79" w:rsidRDefault="004F3B79" w:rsidP="00831917">
      <w:pPr>
        <w:spacing w:line="240" w:lineRule="auto"/>
        <w:rPr>
          <w:szCs w:val="22"/>
        </w:rPr>
      </w:pPr>
    </w:p>
    <w:p w14:paraId="2EF343FA" w14:textId="77777777" w:rsidR="00142037" w:rsidRPr="00831917" w:rsidRDefault="00142037" w:rsidP="00831917">
      <w:pPr>
        <w:spacing w:line="240" w:lineRule="auto"/>
        <w:rPr>
          <w:szCs w:val="22"/>
        </w:rPr>
      </w:pPr>
    </w:p>
    <w:sectPr w:rsidR="00142037" w:rsidRPr="00831917" w:rsidSect="00831917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0FE1" w14:textId="77777777" w:rsidR="00A25C49" w:rsidRDefault="00A25C49" w:rsidP="006A51AA">
      <w:pPr>
        <w:spacing w:line="240" w:lineRule="auto"/>
      </w:pPr>
      <w:r>
        <w:separator/>
      </w:r>
    </w:p>
  </w:endnote>
  <w:endnote w:type="continuationSeparator" w:id="0">
    <w:p w14:paraId="77C79390" w14:textId="77777777" w:rsidR="00A25C49" w:rsidRDefault="00A25C49" w:rsidP="006A51AA">
      <w:pPr>
        <w:spacing w:line="240" w:lineRule="auto"/>
      </w:pPr>
      <w:r>
        <w:continuationSeparator/>
      </w:r>
    </w:p>
  </w:endnote>
  <w:endnote w:type="continuationNotice" w:id="1">
    <w:p w14:paraId="296EA24A" w14:textId="77777777" w:rsidR="00A25C49" w:rsidRDefault="00A25C4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-Times New Roman">
    <w:altName w:val="Times New Roman"/>
    <w:charset w:val="00"/>
    <w:family w:val="roman"/>
    <w:pitch w:val="variable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9361F" w14:textId="5938D466" w:rsidR="00CC093A" w:rsidRDefault="00B63C16" w:rsidP="00E45427">
    <w:pPr>
      <w:pStyle w:val="llb"/>
      <w:spacing w:line="240" w:lineRule="auto"/>
      <w:rPr>
        <w:rFonts w:ascii="Times New Roman" w:hAnsi="Times New Roman"/>
        <w:sz w:val="18"/>
        <w:szCs w:val="18"/>
        <w:lang w:val="en-GB"/>
      </w:rPr>
    </w:pPr>
    <w:bookmarkStart w:id="0" w:name="_Hlk135972851"/>
    <w:bookmarkStart w:id="1" w:name="_Hlk135972852"/>
    <w:bookmarkStart w:id="2" w:name="_Hlk135972853"/>
    <w:bookmarkStart w:id="3" w:name="_Hlk135972854"/>
    <w:bookmarkStart w:id="4" w:name="_Hlk135972855"/>
    <w:bookmarkStart w:id="5" w:name="_Hlk135972856"/>
    <w:bookmarkStart w:id="6" w:name="_Hlk135972857"/>
    <w:bookmarkStart w:id="7" w:name="_Hlk135972858"/>
    <w:r w:rsidRPr="00B63C16">
      <w:rPr>
        <w:rFonts w:ascii="Times New Roman" w:hAnsi="Times New Roman"/>
        <w:sz w:val="18"/>
        <w:szCs w:val="18"/>
        <w:lang w:val="en-GB"/>
      </w:rPr>
      <w:t>NNGYK/GYSZ/56156/2024</w:t>
    </w:r>
  </w:p>
  <w:p w14:paraId="230BA7EE" w14:textId="355765EC" w:rsidR="00CC093A" w:rsidRDefault="00CC093A" w:rsidP="004F3B79">
    <w:pPr>
      <w:pStyle w:val="llb"/>
      <w:spacing w:line="240" w:lineRule="auto"/>
      <w:rPr>
        <w:rFonts w:ascii="Times New Roman" w:hAnsi="Times New Roman"/>
        <w:sz w:val="18"/>
        <w:szCs w:val="18"/>
        <w:lang w:val="en-GB"/>
      </w:rPr>
    </w:pPr>
    <w:r w:rsidRPr="00B63C16">
      <w:rPr>
        <w:rFonts w:ascii="Times New Roman" w:hAnsi="Times New Roman"/>
        <w:sz w:val="18"/>
        <w:szCs w:val="18"/>
        <w:lang w:val="en-GB"/>
      </w:rPr>
      <w:t>NNGYK/</w:t>
    </w:r>
    <w:r>
      <w:rPr>
        <w:rFonts w:ascii="Times New Roman" w:hAnsi="Times New Roman"/>
        <w:sz w:val="18"/>
        <w:szCs w:val="18"/>
        <w:lang w:val="en-GB"/>
      </w:rPr>
      <w:t>ETGY</w:t>
    </w:r>
    <w:r w:rsidRPr="00B63C16">
      <w:rPr>
        <w:rFonts w:ascii="Times New Roman" w:hAnsi="Times New Roman"/>
        <w:sz w:val="18"/>
        <w:szCs w:val="18"/>
        <w:lang w:val="en-GB"/>
      </w:rPr>
      <w:t>/</w:t>
    </w:r>
    <w:r>
      <w:rPr>
        <w:rFonts w:ascii="Times New Roman" w:hAnsi="Times New Roman"/>
        <w:sz w:val="18"/>
        <w:szCs w:val="18"/>
        <w:lang w:val="en-GB"/>
      </w:rPr>
      <w:t>6103/2026</w:t>
    </w:r>
  </w:p>
  <w:p w14:paraId="367C7A79" w14:textId="4A5BF407" w:rsidR="00CC093A" w:rsidRPr="004F3B79" w:rsidRDefault="00CC093A" w:rsidP="00CC093A">
    <w:pPr>
      <w:pStyle w:val="llb"/>
      <w:spacing w:line="240" w:lineRule="auto"/>
      <w:rPr>
        <w:rFonts w:ascii="Times New Roman" w:hAnsi="Times New Roman"/>
        <w:sz w:val="18"/>
        <w:szCs w:val="18"/>
        <w:lang w:val="en-GB"/>
      </w:rPr>
    </w:pPr>
    <w:r w:rsidRPr="00B63C16">
      <w:rPr>
        <w:rFonts w:ascii="Times New Roman" w:hAnsi="Times New Roman"/>
        <w:sz w:val="18"/>
        <w:szCs w:val="18"/>
        <w:lang w:val="en-GB"/>
      </w:rPr>
      <w:t>NNGYK/</w:t>
    </w:r>
    <w:r>
      <w:rPr>
        <w:rFonts w:ascii="Times New Roman" w:hAnsi="Times New Roman"/>
        <w:sz w:val="18"/>
        <w:szCs w:val="18"/>
        <w:lang w:val="en-GB"/>
      </w:rPr>
      <w:t>ETGY</w:t>
    </w:r>
    <w:r w:rsidRPr="00B63C16">
      <w:rPr>
        <w:rFonts w:ascii="Times New Roman" w:hAnsi="Times New Roman"/>
        <w:sz w:val="18"/>
        <w:szCs w:val="18"/>
        <w:lang w:val="en-GB"/>
      </w:rPr>
      <w:t>/</w:t>
    </w:r>
    <w:r>
      <w:rPr>
        <w:rFonts w:ascii="Times New Roman" w:hAnsi="Times New Roman"/>
        <w:sz w:val="18"/>
        <w:szCs w:val="18"/>
        <w:lang w:val="en-GB"/>
      </w:rPr>
      <w:t>6107/2026</w:t>
    </w:r>
  </w:p>
  <w:p w14:paraId="71AEEB60" w14:textId="5E41676D" w:rsidR="005E3E1E" w:rsidRPr="004B5F24" w:rsidRDefault="00CC093A" w:rsidP="00E45427">
    <w:pPr>
      <w:pStyle w:val="llb"/>
      <w:spacing w:line="240" w:lineRule="auto"/>
      <w:rPr>
        <w:rFonts w:ascii="Times New Roman" w:hAnsi="Times New Roman" w:cs="Times New Roman"/>
        <w:sz w:val="18"/>
        <w:szCs w:val="18"/>
      </w:rPr>
    </w:pPr>
    <w:r w:rsidRPr="00B63C16">
      <w:rPr>
        <w:rFonts w:ascii="Times New Roman" w:hAnsi="Times New Roman"/>
        <w:sz w:val="18"/>
        <w:szCs w:val="18"/>
        <w:lang w:val="en-GB"/>
      </w:rPr>
      <w:t>NNGYK/</w:t>
    </w:r>
    <w:r>
      <w:rPr>
        <w:rFonts w:ascii="Times New Roman" w:hAnsi="Times New Roman"/>
        <w:sz w:val="18"/>
        <w:szCs w:val="18"/>
        <w:lang w:val="en-GB"/>
      </w:rPr>
      <w:t>ETGY</w:t>
    </w:r>
    <w:r w:rsidRPr="00B63C16">
      <w:rPr>
        <w:rFonts w:ascii="Times New Roman" w:hAnsi="Times New Roman"/>
        <w:sz w:val="18"/>
        <w:szCs w:val="18"/>
        <w:lang w:val="en-GB"/>
      </w:rPr>
      <w:t>/</w:t>
    </w:r>
    <w:r>
      <w:rPr>
        <w:rFonts w:ascii="Times New Roman" w:hAnsi="Times New Roman"/>
        <w:sz w:val="18"/>
        <w:szCs w:val="18"/>
        <w:lang w:val="en-GB"/>
      </w:rPr>
      <w:t>6112/2026</w:t>
    </w:r>
    <w:bookmarkEnd w:id="0"/>
    <w:bookmarkEnd w:id="1"/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2E3F3" w14:textId="77777777" w:rsidR="00A25C49" w:rsidRDefault="00A25C49" w:rsidP="006A51AA">
      <w:pPr>
        <w:spacing w:line="240" w:lineRule="auto"/>
      </w:pPr>
      <w:r>
        <w:separator/>
      </w:r>
    </w:p>
  </w:footnote>
  <w:footnote w:type="continuationSeparator" w:id="0">
    <w:p w14:paraId="126D0AA4" w14:textId="77777777" w:rsidR="00A25C49" w:rsidRDefault="00A25C49" w:rsidP="006A51AA">
      <w:pPr>
        <w:spacing w:line="240" w:lineRule="auto"/>
      </w:pPr>
      <w:r>
        <w:continuationSeparator/>
      </w:r>
    </w:p>
  </w:footnote>
  <w:footnote w:type="continuationNotice" w:id="1">
    <w:p w14:paraId="6CC0FFAA" w14:textId="77777777" w:rsidR="00A25C49" w:rsidRDefault="00A25C4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2FC41" w14:textId="3E99503A" w:rsidR="005E3E1E" w:rsidRPr="006A51AA" w:rsidRDefault="005E3E1E">
    <w:pPr>
      <w:pStyle w:val="lfej"/>
      <w:jc w:val="center"/>
      <w:rPr>
        <w:rFonts w:ascii="Times New Roman" w:hAnsi="Times New Roman"/>
      </w:rPr>
    </w:pPr>
    <w:r w:rsidRPr="006A51AA">
      <w:rPr>
        <w:rFonts w:ascii="Times New Roman" w:hAnsi="Times New Roman"/>
      </w:rPr>
      <w:fldChar w:fldCharType="begin"/>
    </w:r>
    <w:r w:rsidRPr="006A51AA">
      <w:rPr>
        <w:rFonts w:ascii="Times New Roman" w:hAnsi="Times New Roman"/>
      </w:rPr>
      <w:instrText xml:space="preserve"> PAGE   \* MERGEFORMAT </w:instrText>
    </w:r>
    <w:r w:rsidRPr="006A51AA">
      <w:rPr>
        <w:rFonts w:ascii="Times New Roman" w:hAnsi="Times New Roman"/>
      </w:rPr>
      <w:fldChar w:fldCharType="separate"/>
    </w:r>
    <w:r w:rsidR="00786F2D">
      <w:rPr>
        <w:rFonts w:ascii="Times New Roman" w:hAnsi="Times New Roman"/>
        <w:noProof/>
      </w:rPr>
      <w:t>15</w:t>
    </w:r>
    <w:r w:rsidRPr="006A51AA">
      <w:rPr>
        <w:rFonts w:ascii="Times New Roman" w:hAnsi="Times New Roman"/>
      </w:rPr>
      <w:fldChar w:fldCharType="end"/>
    </w:r>
  </w:p>
  <w:p w14:paraId="1AE42614" w14:textId="77777777" w:rsidR="005E3E1E" w:rsidRDefault="005E3E1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13172C0"/>
    <w:multiLevelType w:val="hybridMultilevel"/>
    <w:tmpl w:val="6A1E918C"/>
    <w:lvl w:ilvl="0" w:tplc="0B5E96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15EE2"/>
    <w:multiLevelType w:val="hybridMultilevel"/>
    <w:tmpl w:val="786093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01DB6"/>
    <w:multiLevelType w:val="hybridMultilevel"/>
    <w:tmpl w:val="489C13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6473"/>
    <w:multiLevelType w:val="hybridMultilevel"/>
    <w:tmpl w:val="F1001B0C"/>
    <w:lvl w:ilvl="0" w:tplc="89307646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0647E65"/>
    <w:multiLevelType w:val="hybridMultilevel"/>
    <w:tmpl w:val="D3F02C22"/>
    <w:lvl w:ilvl="0" w:tplc="2320042E">
      <w:start w:val="3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1D309A0"/>
    <w:multiLevelType w:val="multilevel"/>
    <w:tmpl w:val="FA88D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3027BA"/>
    <w:multiLevelType w:val="hybridMultilevel"/>
    <w:tmpl w:val="68EECF76"/>
    <w:lvl w:ilvl="0" w:tplc="986E501A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30088E"/>
    <w:multiLevelType w:val="hybridMultilevel"/>
    <w:tmpl w:val="E4402C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F693F"/>
    <w:multiLevelType w:val="hybridMultilevel"/>
    <w:tmpl w:val="CBE6AE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A289B"/>
    <w:multiLevelType w:val="multilevel"/>
    <w:tmpl w:val="9B0ECE94"/>
    <w:lvl w:ilvl="0">
      <w:start w:val="4"/>
      <w:numFmt w:val="decimal"/>
      <w:lvlText w:val="%1"/>
      <w:lvlJc w:val="left"/>
      <w:pPr>
        <w:ind w:left="360" w:hanging="360"/>
      </w:pPr>
      <w:rPr>
        <w:rFonts w:ascii="Wingdings" w:hAnsi="Wingdings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465628C"/>
    <w:multiLevelType w:val="hybridMultilevel"/>
    <w:tmpl w:val="358CB0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37B04"/>
    <w:multiLevelType w:val="hybridMultilevel"/>
    <w:tmpl w:val="555638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E6C51"/>
    <w:multiLevelType w:val="hybridMultilevel"/>
    <w:tmpl w:val="3F5CFD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4F062A"/>
    <w:multiLevelType w:val="hybridMultilevel"/>
    <w:tmpl w:val="14B4AB76"/>
    <w:lvl w:ilvl="0" w:tplc="8AF69CD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C16767"/>
    <w:multiLevelType w:val="hybridMultilevel"/>
    <w:tmpl w:val="605C0AE4"/>
    <w:lvl w:ilvl="0" w:tplc="BEBE0E20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300D3E"/>
    <w:multiLevelType w:val="hybridMultilevel"/>
    <w:tmpl w:val="6C4297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13362"/>
    <w:multiLevelType w:val="hybridMultilevel"/>
    <w:tmpl w:val="EF040A5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9D7516"/>
    <w:multiLevelType w:val="hybridMultilevel"/>
    <w:tmpl w:val="511C1BF0"/>
    <w:lvl w:ilvl="0" w:tplc="FFFFFFFF">
      <w:start w:val="1"/>
      <w:numFmt w:val="bullet"/>
      <w:lvlText w:val="-"/>
      <w:lvlJc w:val="left"/>
      <w:pPr>
        <w:ind w:left="1004" w:hanging="360"/>
      </w:p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2F2C6B25"/>
    <w:multiLevelType w:val="hybridMultilevel"/>
    <w:tmpl w:val="709A5012"/>
    <w:lvl w:ilvl="0" w:tplc="30FE0392">
      <w:numFmt w:val="bullet"/>
      <w:lvlText w:val=""/>
      <w:lvlJc w:val="left"/>
      <w:pPr>
        <w:ind w:left="1287" w:hanging="360"/>
      </w:pPr>
      <w:rPr>
        <w:rFonts w:ascii="Wingdings" w:eastAsia="Times New Roman" w:hAnsi="Wingdings" w:cs="Wingdings" w:hint="default"/>
        <w:b/>
        <w:sz w:val="22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8CF2AB4"/>
    <w:multiLevelType w:val="hybridMultilevel"/>
    <w:tmpl w:val="065C745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89151F"/>
    <w:multiLevelType w:val="hybridMultilevel"/>
    <w:tmpl w:val="9A10E9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8F4A53"/>
    <w:multiLevelType w:val="hybridMultilevel"/>
    <w:tmpl w:val="87404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F00DC9"/>
    <w:multiLevelType w:val="hybridMultilevel"/>
    <w:tmpl w:val="2A7662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D3C29"/>
    <w:multiLevelType w:val="hybridMultilevel"/>
    <w:tmpl w:val="572A39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C51F1"/>
    <w:multiLevelType w:val="hybridMultilevel"/>
    <w:tmpl w:val="A06860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94896"/>
    <w:multiLevelType w:val="hybridMultilevel"/>
    <w:tmpl w:val="1A20A350"/>
    <w:lvl w:ilvl="0" w:tplc="3DB486A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4F2927"/>
    <w:multiLevelType w:val="hybridMultilevel"/>
    <w:tmpl w:val="4EAC9440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1DB7FFA"/>
    <w:multiLevelType w:val="hybridMultilevel"/>
    <w:tmpl w:val="031A37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657FA"/>
    <w:multiLevelType w:val="hybridMultilevel"/>
    <w:tmpl w:val="5854F006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D8467512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2F305A"/>
    <w:multiLevelType w:val="hybridMultilevel"/>
    <w:tmpl w:val="2E9EE6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097EF8"/>
    <w:multiLevelType w:val="multilevel"/>
    <w:tmpl w:val="A02E932A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3" w15:restartNumberingAfterBreak="0">
    <w:nsid w:val="5FDB1998"/>
    <w:multiLevelType w:val="hybridMultilevel"/>
    <w:tmpl w:val="27A074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DC594B"/>
    <w:multiLevelType w:val="hybridMultilevel"/>
    <w:tmpl w:val="BB9A923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59F4B25"/>
    <w:multiLevelType w:val="hybridMultilevel"/>
    <w:tmpl w:val="5EF08B2E"/>
    <w:lvl w:ilvl="0" w:tplc="81562E8E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080DEC"/>
    <w:multiLevelType w:val="hybridMultilevel"/>
    <w:tmpl w:val="AD2293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B63B20"/>
    <w:multiLevelType w:val="hybridMultilevel"/>
    <w:tmpl w:val="F246EF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E41440"/>
    <w:multiLevelType w:val="hybridMultilevel"/>
    <w:tmpl w:val="3364FFCE"/>
    <w:lvl w:ilvl="0" w:tplc="2C0880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C65F62"/>
    <w:multiLevelType w:val="hybridMultilevel"/>
    <w:tmpl w:val="01FEB9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B570CF"/>
    <w:multiLevelType w:val="hybridMultilevel"/>
    <w:tmpl w:val="F4FAD1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5F5BAD"/>
    <w:multiLevelType w:val="hybridMultilevel"/>
    <w:tmpl w:val="C7F21766"/>
    <w:lvl w:ilvl="0" w:tplc="E8BAF01E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3270758">
    <w:abstractNumId w:val="1"/>
  </w:num>
  <w:num w:numId="2" w16cid:durableId="1209145060">
    <w:abstractNumId w:val="36"/>
  </w:num>
  <w:num w:numId="3" w16cid:durableId="1997024607">
    <w:abstractNumId w:val="11"/>
  </w:num>
  <w:num w:numId="4" w16cid:durableId="183400956">
    <w:abstractNumId w:val="10"/>
  </w:num>
  <w:num w:numId="5" w16cid:durableId="1629512697">
    <w:abstractNumId w:val="40"/>
  </w:num>
  <w:num w:numId="6" w16cid:durableId="1849906074">
    <w:abstractNumId w:val="22"/>
  </w:num>
  <w:num w:numId="7" w16cid:durableId="2055153832">
    <w:abstractNumId w:val="12"/>
  </w:num>
  <w:num w:numId="8" w16cid:durableId="862326471">
    <w:abstractNumId w:val="31"/>
  </w:num>
  <w:num w:numId="9" w16cid:durableId="1375346416">
    <w:abstractNumId w:val="4"/>
  </w:num>
  <w:num w:numId="10" w16cid:durableId="241180374">
    <w:abstractNumId w:val="38"/>
  </w:num>
  <w:num w:numId="11" w16cid:durableId="200167573">
    <w:abstractNumId w:val="14"/>
  </w:num>
  <w:num w:numId="12" w16cid:durableId="1610429422">
    <w:abstractNumId w:val="17"/>
  </w:num>
  <w:num w:numId="13" w16cid:durableId="1748920388">
    <w:abstractNumId w:val="29"/>
  </w:num>
  <w:num w:numId="14" w16cid:durableId="1962883633">
    <w:abstractNumId w:val="25"/>
  </w:num>
  <w:num w:numId="15" w16cid:durableId="1860661444">
    <w:abstractNumId w:val="18"/>
  </w:num>
  <w:num w:numId="16" w16cid:durableId="1831411226">
    <w:abstractNumId w:val="21"/>
  </w:num>
  <w:num w:numId="17" w16cid:durableId="1877423320">
    <w:abstractNumId w:val="35"/>
  </w:num>
  <w:num w:numId="18" w16cid:durableId="841967368">
    <w:abstractNumId w:val="41"/>
  </w:num>
  <w:num w:numId="19" w16cid:durableId="449974622">
    <w:abstractNumId w:val="39"/>
  </w:num>
  <w:num w:numId="20" w16cid:durableId="2102144474">
    <w:abstractNumId w:val="9"/>
  </w:num>
  <w:num w:numId="21" w16cid:durableId="1362434378">
    <w:abstractNumId w:val="13"/>
  </w:num>
  <w:num w:numId="22" w16cid:durableId="323095996">
    <w:abstractNumId w:val="19"/>
  </w:num>
  <w:num w:numId="23" w16cid:durableId="1093623636">
    <w:abstractNumId w:val="20"/>
  </w:num>
  <w:num w:numId="24" w16cid:durableId="1393188838">
    <w:abstractNumId w:val="34"/>
  </w:num>
  <w:num w:numId="25" w16cid:durableId="1125848722">
    <w:abstractNumId w:val="2"/>
  </w:num>
  <w:num w:numId="26" w16cid:durableId="1434017035">
    <w:abstractNumId w:val="32"/>
  </w:num>
  <w:num w:numId="27" w16cid:durableId="288049657">
    <w:abstractNumId w:val="23"/>
  </w:num>
  <w:num w:numId="28" w16cid:durableId="2136096826">
    <w:abstractNumId w:val="33"/>
  </w:num>
  <w:num w:numId="29" w16cid:durableId="2017807804">
    <w:abstractNumId w:val="26"/>
  </w:num>
  <w:num w:numId="30" w16cid:durableId="1665358101">
    <w:abstractNumId w:val="30"/>
  </w:num>
  <w:num w:numId="31" w16cid:durableId="35660879">
    <w:abstractNumId w:val="37"/>
  </w:num>
  <w:num w:numId="32" w16cid:durableId="10185485">
    <w:abstractNumId w:val="28"/>
  </w:num>
  <w:num w:numId="33" w16cid:durableId="827744858">
    <w:abstractNumId w:val="3"/>
  </w:num>
  <w:num w:numId="34" w16cid:durableId="785275325">
    <w:abstractNumId w:val="0"/>
  </w:num>
  <w:num w:numId="35" w16cid:durableId="746071608">
    <w:abstractNumId w:val="27"/>
  </w:num>
  <w:num w:numId="36" w16cid:durableId="1078793448">
    <w:abstractNumId w:val="15"/>
  </w:num>
  <w:num w:numId="37" w16cid:durableId="1965498657">
    <w:abstractNumId w:val="8"/>
  </w:num>
  <w:num w:numId="38" w16cid:durableId="754597843">
    <w:abstractNumId w:val="5"/>
  </w:num>
  <w:num w:numId="39" w16cid:durableId="767235927">
    <w:abstractNumId w:val="6"/>
  </w:num>
  <w:num w:numId="40" w16cid:durableId="1399328090">
    <w:abstractNumId w:val="16"/>
  </w:num>
  <w:num w:numId="41" w16cid:durableId="256065724">
    <w:abstractNumId w:val="24"/>
  </w:num>
  <w:num w:numId="42" w16cid:durableId="19906691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4C0"/>
    <w:rsid w:val="000039BB"/>
    <w:rsid w:val="00013993"/>
    <w:rsid w:val="000228EF"/>
    <w:rsid w:val="00033869"/>
    <w:rsid w:val="00036F2E"/>
    <w:rsid w:val="00040DD9"/>
    <w:rsid w:val="00051EA7"/>
    <w:rsid w:val="000546A1"/>
    <w:rsid w:val="00056D51"/>
    <w:rsid w:val="00064AB4"/>
    <w:rsid w:val="000666D2"/>
    <w:rsid w:val="00066BC0"/>
    <w:rsid w:val="00070EF7"/>
    <w:rsid w:val="000716CC"/>
    <w:rsid w:val="000736FB"/>
    <w:rsid w:val="000838B7"/>
    <w:rsid w:val="0008460A"/>
    <w:rsid w:val="00087212"/>
    <w:rsid w:val="0009759C"/>
    <w:rsid w:val="000A03BD"/>
    <w:rsid w:val="000B0E10"/>
    <w:rsid w:val="000B7DF3"/>
    <w:rsid w:val="000C6893"/>
    <w:rsid w:val="000C731A"/>
    <w:rsid w:val="000D151E"/>
    <w:rsid w:val="000D5CE3"/>
    <w:rsid w:val="000D6079"/>
    <w:rsid w:val="000D7B1F"/>
    <w:rsid w:val="000E67EF"/>
    <w:rsid w:val="000E6AEC"/>
    <w:rsid w:val="000F4BE2"/>
    <w:rsid w:val="000F5316"/>
    <w:rsid w:val="000F79CC"/>
    <w:rsid w:val="00104FC9"/>
    <w:rsid w:val="0010634A"/>
    <w:rsid w:val="00106BF0"/>
    <w:rsid w:val="00111793"/>
    <w:rsid w:val="001174B4"/>
    <w:rsid w:val="00136994"/>
    <w:rsid w:val="00142037"/>
    <w:rsid w:val="00151AE2"/>
    <w:rsid w:val="00162B06"/>
    <w:rsid w:val="00164EDF"/>
    <w:rsid w:val="00167AEB"/>
    <w:rsid w:val="00167DA5"/>
    <w:rsid w:val="00171A4C"/>
    <w:rsid w:val="0017599F"/>
    <w:rsid w:val="00191DE3"/>
    <w:rsid w:val="00195D54"/>
    <w:rsid w:val="001A6A00"/>
    <w:rsid w:val="001A6C6C"/>
    <w:rsid w:val="001B324C"/>
    <w:rsid w:val="001B47ED"/>
    <w:rsid w:val="001C2593"/>
    <w:rsid w:val="001C309F"/>
    <w:rsid w:val="001C4E61"/>
    <w:rsid w:val="001C6667"/>
    <w:rsid w:val="001D1443"/>
    <w:rsid w:val="001D517B"/>
    <w:rsid w:val="001E065A"/>
    <w:rsid w:val="001E4F20"/>
    <w:rsid w:val="001F0C81"/>
    <w:rsid w:val="001F4343"/>
    <w:rsid w:val="001F6971"/>
    <w:rsid w:val="001F72AD"/>
    <w:rsid w:val="00217CC7"/>
    <w:rsid w:val="00222ADD"/>
    <w:rsid w:val="002370A7"/>
    <w:rsid w:val="0023790D"/>
    <w:rsid w:val="002420E1"/>
    <w:rsid w:val="002541C0"/>
    <w:rsid w:val="00263E37"/>
    <w:rsid w:val="00263FA6"/>
    <w:rsid w:val="00264B3B"/>
    <w:rsid w:val="00265A48"/>
    <w:rsid w:val="002673E7"/>
    <w:rsid w:val="002712C4"/>
    <w:rsid w:val="002741CE"/>
    <w:rsid w:val="00276303"/>
    <w:rsid w:val="00282767"/>
    <w:rsid w:val="0028689D"/>
    <w:rsid w:val="00293133"/>
    <w:rsid w:val="002A00EC"/>
    <w:rsid w:val="002A2B40"/>
    <w:rsid w:val="002A3F15"/>
    <w:rsid w:val="002A66FD"/>
    <w:rsid w:val="002B1EB3"/>
    <w:rsid w:val="002C2D52"/>
    <w:rsid w:val="002C729B"/>
    <w:rsid w:val="002D0BD5"/>
    <w:rsid w:val="002D3C7A"/>
    <w:rsid w:val="002E0D4E"/>
    <w:rsid w:val="002F755A"/>
    <w:rsid w:val="00305F14"/>
    <w:rsid w:val="00313B44"/>
    <w:rsid w:val="00322158"/>
    <w:rsid w:val="003238E3"/>
    <w:rsid w:val="00330765"/>
    <w:rsid w:val="00330B00"/>
    <w:rsid w:val="00341AFC"/>
    <w:rsid w:val="003422A3"/>
    <w:rsid w:val="00343DC7"/>
    <w:rsid w:val="0034595F"/>
    <w:rsid w:val="00351B7A"/>
    <w:rsid w:val="003523FA"/>
    <w:rsid w:val="00352527"/>
    <w:rsid w:val="003646DE"/>
    <w:rsid w:val="00367A18"/>
    <w:rsid w:val="00374B62"/>
    <w:rsid w:val="003822F5"/>
    <w:rsid w:val="00385D03"/>
    <w:rsid w:val="00386189"/>
    <w:rsid w:val="003868F2"/>
    <w:rsid w:val="00390263"/>
    <w:rsid w:val="00393C94"/>
    <w:rsid w:val="003D2AE1"/>
    <w:rsid w:val="003D36DA"/>
    <w:rsid w:val="003E1F8F"/>
    <w:rsid w:val="003E3B20"/>
    <w:rsid w:val="003E4570"/>
    <w:rsid w:val="003F5CC3"/>
    <w:rsid w:val="00400330"/>
    <w:rsid w:val="004039A9"/>
    <w:rsid w:val="00404942"/>
    <w:rsid w:val="004113CD"/>
    <w:rsid w:val="00416150"/>
    <w:rsid w:val="00420A5B"/>
    <w:rsid w:val="00426EB8"/>
    <w:rsid w:val="00435C1E"/>
    <w:rsid w:val="004373ED"/>
    <w:rsid w:val="00437751"/>
    <w:rsid w:val="004412DB"/>
    <w:rsid w:val="00445412"/>
    <w:rsid w:val="0044564C"/>
    <w:rsid w:val="0045543F"/>
    <w:rsid w:val="0047011D"/>
    <w:rsid w:val="00480570"/>
    <w:rsid w:val="00484B19"/>
    <w:rsid w:val="0048517B"/>
    <w:rsid w:val="00490158"/>
    <w:rsid w:val="00490E03"/>
    <w:rsid w:val="00491D43"/>
    <w:rsid w:val="004945A8"/>
    <w:rsid w:val="00495621"/>
    <w:rsid w:val="004A2076"/>
    <w:rsid w:val="004B5F24"/>
    <w:rsid w:val="004B6172"/>
    <w:rsid w:val="004C1CC2"/>
    <w:rsid w:val="004C5635"/>
    <w:rsid w:val="004D27D5"/>
    <w:rsid w:val="004D6A1D"/>
    <w:rsid w:val="004E321C"/>
    <w:rsid w:val="004E4117"/>
    <w:rsid w:val="004F31D2"/>
    <w:rsid w:val="004F3B79"/>
    <w:rsid w:val="004F5129"/>
    <w:rsid w:val="00502D51"/>
    <w:rsid w:val="00505B58"/>
    <w:rsid w:val="0050658C"/>
    <w:rsid w:val="00506EAF"/>
    <w:rsid w:val="005105D4"/>
    <w:rsid w:val="005115FE"/>
    <w:rsid w:val="005150F5"/>
    <w:rsid w:val="0052253B"/>
    <w:rsid w:val="005244E1"/>
    <w:rsid w:val="00532AC4"/>
    <w:rsid w:val="00537C82"/>
    <w:rsid w:val="00541B49"/>
    <w:rsid w:val="00544799"/>
    <w:rsid w:val="00544F06"/>
    <w:rsid w:val="005452BB"/>
    <w:rsid w:val="00551029"/>
    <w:rsid w:val="0055232A"/>
    <w:rsid w:val="00552915"/>
    <w:rsid w:val="00552A73"/>
    <w:rsid w:val="00556DD0"/>
    <w:rsid w:val="0055751A"/>
    <w:rsid w:val="005644C0"/>
    <w:rsid w:val="00564708"/>
    <w:rsid w:val="00565047"/>
    <w:rsid w:val="00565368"/>
    <w:rsid w:val="0056677B"/>
    <w:rsid w:val="00567EBB"/>
    <w:rsid w:val="00573737"/>
    <w:rsid w:val="00573D1E"/>
    <w:rsid w:val="00574E70"/>
    <w:rsid w:val="00577B7A"/>
    <w:rsid w:val="00584C88"/>
    <w:rsid w:val="00590911"/>
    <w:rsid w:val="00596EE7"/>
    <w:rsid w:val="005A0A8F"/>
    <w:rsid w:val="005A21CC"/>
    <w:rsid w:val="005A5841"/>
    <w:rsid w:val="005B2973"/>
    <w:rsid w:val="005B4D87"/>
    <w:rsid w:val="005C080F"/>
    <w:rsid w:val="005E16B9"/>
    <w:rsid w:val="005E3E1E"/>
    <w:rsid w:val="005E4BA8"/>
    <w:rsid w:val="005E7B58"/>
    <w:rsid w:val="005F58D6"/>
    <w:rsid w:val="005F7B56"/>
    <w:rsid w:val="006013A3"/>
    <w:rsid w:val="00602DB9"/>
    <w:rsid w:val="00606392"/>
    <w:rsid w:val="00606C3D"/>
    <w:rsid w:val="006206A6"/>
    <w:rsid w:val="0063157C"/>
    <w:rsid w:val="00632EFA"/>
    <w:rsid w:val="0063315D"/>
    <w:rsid w:val="0063655C"/>
    <w:rsid w:val="00636DEE"/>
    <w:rsid w:val="00644BA9"/>
    <w:rsid w:val="006505F5"/>
    <w:rsid w:val="0065528B"/>
    <w:rsid w:val="006559BB"/>
    <w:rsid w:val="00665048"/>
    <w:rsid w:val="006660D9"/>
    <w:rsid w:val="006709D7"/>
    <w:rsid w:val="00673EC4"/>
    <w:rsid w:val="006874E2"/>
    <w:rsid w:val="00690B1E"/>
    <w:rsid w:val="00691E17"/>
    <w:rsid w:val="00697381"/>
    <w:rsid w:val="006A51AA"/>
    <w:rsid w:val="006B536D"/>
    <w:rsid w:val="006B614F"/>
    <w:rsid w:val="006C2F66"/>
    <w:rsid w:val="006C341D"/>
    <w:rsid w:val="006D043D"/>
    <w:rsid w:val="006D492D"/>
    <w:rsid w:val="006E2199"/>
    <w:rsid w:val="006E52C8"/>
    <w:rsid w:val="006E5650"/>
    <w:rsid w:val="006E6E19"/>
    <w:rsid w:val="006F647D"/>
    <w:rsid w:val="00700147"/>
    <w:rsid w:val="0070147F"/>
    <w:rsid w:val="00703319"/>
    <w:rsid w:val="007109B9"/>
    <w:rsid w:val="0072004E"/>
    <w:rsid w:val="007242F4"/>
    <w:rsid w:val="00734803"/>
    <w:rsid w:val="00736A23"/>
    <w:rsid w:val="0074074F"/>
    <w:rsid w:val="007414D3"/>
    <w:rsid w:val="00752CE7"/>
    <w:rsid w:val="00754E01"/>
    <w:rsid w:val="00762449"/>
    <w:rsid w:val="007633B1"/>
    <w:rsid w:val="007718A0"/>
    <w:rsid w:val="00781DB8"/>
    <w:rsid w:val="00786AD7"/>
    <w:rsid w:val="00786F2D"/>
    <w:rsid w:val="007A15A2"/>
    <w:rsid w:val="007A6D52"/>
    <w:rsid w:val="007A745B"/>
    <w:rsid w:val="007A7E97"/>
    <w:rsid w:val="007B538B"/>
    <w:rsid w:val="007C44BE"/>
    <w:rsid w:val="007D1645"/>
    <w:rsid w:val="007D5963"/>
    <w:rsid w:val="007D729F"/>
    <w:rsid w:val="007E6874"/>
    <w:rsid w:val="007E7973"/>
    <w:rsid w:val="007F2D39"/>
    <w:rsid w:val="007F3E5A"/>
    <w:rsid w:val="007F5A34"/>
    <w:rsid w:val="00801166"/>
    <w:rsid w:val="00801650"/>
    <w:rsid w:val="008044B4"/>
    <w:rsid w:val="0080721E"/>
    <w:rsid w:val="008141DE"/>
    <w:rsid w:val="00815AA9"/>
    <w:rsid w:val="0081717D"/>
    <w:rsid w:val="00817330"/>
    <w:rsid w:val="008175BC"/>
    <w:rsid w:val="008316FE"/>
    <w:rsid w:val="00831917"/>
    <w:rsid w:val="00832FBA"/>
    <w:rsid w:val="008332A7"/>
    <w:rsid w:val="00833313"/>
    <w:rsid w:val="00835296"/>
    <w:rsid w:val="008356C6"/>
    <w:rsid w:val="008570CB"/>
    <w:rsid w:val="00860A3B"/>
    <w:rsid w:val="0086433F"/>
    <w:rsid w:val="00865568"/>
    <w:rsid w:val="00866157"/>
    <w:rsid w:val="00872D0A"/>
    <w:rsid w:val="00876B06"/>
    <w:rsid w:val="00882131"/>
    <w:rsid w:val="00884CFF"/>
    <w:rsid w:val="00885707"/>
    <w:rsid w:val="0088644D"/>
    <w:rsid w:val="008866AA"/>
    <w:rsid w:val="00892A2C"/>
    <w:rsid w:val="008959CE"/>
    <w:rsid w:val="008A3B57"/>
    <w:rsid w:val="008A43DC"/>
    <w:rsid w:val="008C04A0"/>
    <w:rsid w:val="008C3C9E"/>
    <w:rsid w:val="008C5976"/>
    <w:rsid w:val="008D14A7"/>
    <w:rsid w:val="008D3A50"/>
    <w:rsid w:val="008D3D49"/>
    <w:rsid w:val="008D5C8C"/>
    <w:rsid w:val="008F1BC0"/>
    <w:rsid w:val="008F5D2C"/>
    <w:rsid w:val="008F6D32"/>
    <w:rsid w:val="009106CA"/>
    <w:rsid w:val="009134C4"/>
    <w:rsid w:val="00920C32"/>
    <w:rsid w:val="00920D85"/>
    <w:rsid w:val="00920DAA"/>
    <w:rsid w:val="00922BA0"/>
    <w:rsid w:val="00942B33"/>
    <w:rsid w:val="009512DA"/>
    <w:rsid w:val="0095374C"/>
    <w:rsid w:val="00955FEC"/>
    <w:rsid w:val="00961FA9"/>
    <w:rsid w:val="00962A4B"/>
    <w:rsid w:val="00964867"/>
    <w:rsid w:val="00965521"/>
    <w:rsid w:val="00974295"/>
    <w:rsid w:val="00975AE2"/>
    <w:rsid w:val="00980297"/>
    <w:rsid w:val="009855BA"/>
    <w:rsid w:val="00985E6A"/>
    <w:rsid w:val="009937D0"/>
    <w:rsid w:val="009A6484"/>
    <w:rsid w:val="009A6659"/>
    <w:rsid w:val="009B2A99"/>
    <w:rsid w:val="009B3E38"/>
    <w:rsid w:val="009B72EF"/>
    <w:rsid w:val="009C4842"/>
    <w:rsid w:val="009D70F3"/>
    <w:rsid w:val="009D7E72"/>
    <w:rsid w:val="009E0447"/>
    <w:rsid w:val="009F217E"/>
    <w:rsid w:val="009F2B85"/>
    <w:rsid w:val="009F2D5E"/>
    <w:rsid w:val="00A05CE3"/>
    <w:rsid w:val="00A10E2F"/>
    <w:rsid w:val="00A12D6D"/>
    <w:rsid w:val="00A25C49"/>
    <w:rsid w:val="00A32624"/>
    <w:rsid w:val="00A35F20"/>
    <w:rsid w:val="00A413BD"/>
    <w:rsid w:val="00A43431"/>
    <w:rsid w:val="00A44986"/>
    <w:rsid w:val="00A46442"/>
    <w:rsid w:val="00A47650"/>
    <w:rsid w:val="00A5196C"/>
    <w:rsid w:val="00A54951"/>
    <w:rsid w:val="00A578FA"/>
    <w:rsid w:val="00A62ED3"/>
    <w:rsid w:val="00A6562D"/>
    <w:rsid w:val="00A70B37"/>
    <w:rsid w:val="00A7600D"/>
    <w:rsid w:val="00A761A8"/>
    <w:rsid w:val="00A829FE"/>
    <w:rsid w:val="00A86160"/>
    <w:rsid w:val="00A9375F"/>
    <w:rsid w:val="00A93A05"/>
    <w:rsid w:val="00AB07BB"/>
    <w:rsid w:val="00AC0D6C"/>
    <w:rsid w:val="00AC35B1"/>
    <w:rsid w:val="00AC3F72"/>
    <w:rsid w:val="00AC6A83"/>
    <w:rsid w:val="00AC778B"/>
    <w:rsid w:val="00AD0598"/>
    <w:rsid w:val="00AE285A"/>
    <w:rsid w:val="00AE34DE"/>
    <w:rsid w:val="00AE3A12"/>
    <w:rsid w:val="00AF7BB7"/>
    <w:rsid w:val="00B055B0"/>
    <w:rsid w:val="00B117E4"/>
    <w:rsid w:val="00B14647"/>
    <w:rsid w:val="00B1702F"/>
    <w:rsid w:val="00B174FE"/>
    <w:rsid w:val="00B20569"/>
    <w:rsid w:val="00B26698"/>
    <w:rsid w:val="00B279F4"/>
    <w:rsid w:val="00B41507"/>
    <w:rsid w:val="00B45177"/>
    <w:rsid w:val="00B467FB"/>
    <w:rsid w:val="00B56CB4"/>
    <w:rsid w:val="00B56CE5"/>
    <w:rsid w:val="00B63C16"/>
    <w:rsid w:val="00B67AA0"/>
    <w:rsid w:val="00B72A2E"/>
    <w:rsid w:val="00B84A8B"/>
    <w:rsid w:val="00B9142B"/>
    <w:rsid w:val="00BA0196"/>
    <w:rsid w:val="00BA2A20"/>
    <w:rsid w:val="00BB6F1C"/>
    <w:rsid w:val="00BE57B9"/>
    <w:rsid w:val="00BE64D8"/>
    <w:rsid w:val="00BE6C73"/>
    <w:rsid w:val="00BF447F"/>
    <w:rsid w:val="00BF668B"/>
    <w:rsid w:val="00C01EBB"/>
    <w:rsid w:val="00C01ED3"/>
    <w:rsid w:val="00C034F3"/>
    <w:rsid w:val="00C110F6"/>
    <w:rsid w:val="00C14351"/>
    <w:rsid w:val="00C16A8A"/>
    <w:rsid w:val="00C178EA"/>
    <w:rsid w:val="00C30FC5"/>
    <w:rsid w:val="00C447D7"/>
    <w:rsid w:val="00C47F5E"/>
    <w:rsid w:val="00C54BE8"/>
    <w:rsid w:val="00C579AE"/>
    <w:rsid w:val="00C6254D"/>
    <w:rsid w:val="00C67CA3"/>
    <w:rsid w:val="00C80754"/>
    <w:rsid w:val="00C840D5"/>
    <w:rsid w:val="00C84D40"/>
    <w:rsid w:val="00CA1CB1"/>
    <w:rsid w:val="00CA3AAE"/>
    <w:rsid w:val="00CA3B93"/>
    <w:rsid w:val="00CA460B"/>
    <w:rsid w:val="00CA4F17"/>
    <w:rsid w:val="00CB1AAA"/>
    <w:rsid w:val="00CB3D48"/>
    <w:rsid w:val="00CC093A"/>
    <w:rsid w:val="00CC4FF9"/>
    <w:rsid w:val="00CD24AB"/>
    <w:rsid w:val="00CD3667"/>
    <w:rsid w:val="00CD38FB"/>
    <w:rsid w:val="00CE1420"/>
    <w:rsid w:val="00CE261B"/>
    <w:rsid w:val="00CE7BC6"/>
    <w:rsid w:val="00CF46D7"/>
    <w:rsid w:val="00CF500A"/>
    <w:rsid w:val="00CF6B6C"/>
    <w:rsid w:val="00D072D0"/>
    <w:rsid w:val="00D1134A"/>
    <w:rsid w:val="00D13729"/>
    <w:rsid w:val="00D223C4"/>
    <w:rsid w:val="00D2400E"/>
    <w:rsid w:val="00D2445B"/>
    <w:rsid w:val="00D25EA2"/>
    <w:rsid w:val="00D3289D"/>
    <w:rsid w:val="00D40888"/>
    <w:rsid w:val="00D44AEF"/>
    <w:rsid w:val="00D5369B"/>
    <w:rsid w:val="00D60232"/>
    <w:rsid w:val="00D72435"/>
    <w:rsid w:val="00D7793E"/>
    <w:rsid w:val="00D85566"/>
    <w:rsid w:val="00D85E7E"/>
    <w:rsid w:val="00D8736D"/>
    <w:rsid w:val="00D93595"/>
    <w:rsid w:val="00D93782"/>
    <w:rsid w:val="00DA0118"/>
    <w:rsid w:val="00DA1FC8"/>
    <w:rsid w:val="00DA6EC5"/>
    <w:rsid w:val="00DA76FC"/>
    <w:rsid w:val="00DB5FAC"/>
    <w:rsid w:val="00DC0DA4"/>
    <w:rsid w:val="00DC1785"/>
    <w:rsid w:val="00DC2356"/>
    <w:rsid w:val="00DC34A3"/>
    <w:rsid w:val="00DC625B"/>
    <w:rsid w:val="00DC657A"/>
    <w:rsid w:val="00DD2BED"/>
    <w:rsid w:val="00DD3DE0"/>
    <w:rsid w:val="00DE716A"/>
    <w:rsid w:val="00E15DB7"/>
    <w:rsid w:val="00E17292"/>
    <w:rsid w:val="00E20177"/>
    <w:rsid w:val="00E2120C"/>
    <w:rsid w:val="00E31009"/>
    <w:rsid w:val="00E40CA4"/>
    <w:rsid w:val="00E42097"/>
    <w:rsid w:val="00E44CC4"/>
    <w:rsid w:val="00E44E8B"/>
    <w:rsid w:val="00E45427"/>
    <w:rsid w:val="00E47E29"/>
    <w:rsid w:val="00E548B3"/>
    <w:rsid w:val="00E54BD0"/>
    <w:rsid w:val="00E607D7"/>
    <w:rsid w:val="00E6177E"/>
    <w:rsid w:val="00E669E9"/>
    <w:rsid w:val="00E66FE8"/>
    <w:rsid w:val="00E703A2"/>
    <w:rsid w:val="00E70413"/>
    <w:rsid w:val="00E705E2"/>
    <w:rsid w:val="00E71CAA"/>
    <w:rsid w:val="00E74155"/>
    <w:rsid w:val="00E92170"/>
    <w:rsid w:val="00E9511B"/>
    <w:rsid w:val="00E95B7F"/>
    <w:rsid w:val="00E96551"/>
    <w:rsid w:val="00EA3F35"/>
    <w:rsid w:val="00EA4A41"/>
    <w:rsid w:val="00EA4E0F"/>
    <w:rsid w:val="00EA6011"/>
    <w:rsid w:val="00EA6A2F"/>
    <w:rsid w:val="00EB4647"/>
    <w:rsid w:val="00EB756F"/>
    <w:rsid w:val="00ED3B98"/>
    <w:rsid w:val="00ED3D42"/>
    <w:rsid w:val="00ED4A38"/>
    <w:rsid w:val="00EE6A10"/>
    <w:rsid w:val="00EE7DA4"/>
    <w:rsid w:val="00EF1083"/>
    <w:rsid w:val="00EF18B4"/>
    <w:rsid w:val="00EF2931"/>
    <w:rsid w:val="00EF4A0D"/>
    <w:rsid w:val="00F00F8F"/>
    <w:rsid w:val="00F01AB0"/>
    <w:rsid w:val="00F01EAE"/>
    <w:rsid w:val="00F05C50"/>
    <w:rsid w:val="00F318ED"/>
    <w:rsid w:val="00F32292"/>
    <w:rsid w:val="00F342DA"/>
    <w:rsid w:val="00F36A41"/>
    <w:rsid w:val="00F42AFC"/>
    <w:rsid w:val="00F545E0"/>
    <w:rsid w:val="00F545F6"/>
    <w:rsid w:val="00F5637C"/>
    <w:rsid w:val="00F64B58"/>
    <w:rsid w:val="00F6671E"/>
    <w:rsid w:val="00F70B68"/>
    <w:rsid w:val="00F72EED"/>
    <w:rsid w:val="00F81952"/>
    <w:rsid w:val="00F86A81"/>
    <w:rsid w:val="00F87860"/>
    <w:rsid w:val="00F91BC4"/>
    <w:rsid w:val="00F95903"/>
    <w:rsid w:val="00F9691C"/>
    <w:rsid w:val="00FA0772"/>
    <w:rsid w:val="00FA3978"/>
    <w:rsid w:val="00FA6383"/>
    <w:rsid w:val="00FB52BC"/>
    <w:rsid w:val="00FC2CB3"/>
    <w:rsid w:val="00FC5625"/>
    <w:rsid w:val="00FF2B0D"/>
    <w:rsid w:val="00FF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6C21CA1"/>
  <w15:chartTrackingRefBased/>
  <w15:docId w15:val="{A58E39EB-42B6-43E4-A366-67D81344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B756F"/>
    <w:pPr>
      <w:suppressAutoHyphens/>
      <w:spacing w:line="260" w:lineRule="exact"/>
    </w:pPr>
    <w:rPr>
      <w:rFonts w:ascii="Times New Roman" w:eastAsia="Times New Roman" w:hAnsi="Times New Roman"/>
      <w:sz w:val="22"/>
    </w:rPr>
  </w:style>
  <w:style w:type="paragraph" w:styleId="Cmsor1">
    <w:name w:val="heading 1"/>
    <w:basedOn w:val="Norml"/>
    <w:next w:val="Norml"/>
    <w:link w:val="Cmsor1Char"/>
    <w:qFormat/>
    <w:rsid w:val="005644C0"/>
    <w:pPr>
      <w:tabs>
        <w:tab w:val="num" w:pos="0"/>
      </w:tabs>
      <w:spacing w:before="240" w:after="120"/>
      <w:outlineLvl w:val="0"/>
    </w:pPr>
    <w:rPr>
      <w:rFonts w:cs="Mangal"/>
      <w:b/>
      <w:caps/>
      <w:sz w:val="26"/>
      <w:lang w:val="en-US" w:bidi="hi-IN"/>
    </w:rPr>
  </w:style>
  <w:style w:type="paragraph" w:styleId="Cmsor2">
    <w:name w:val="heading 2"/>
    <w:basedOn w:val="Norml"/>
    <w:next w:val="Norml"/>
    <w:link w:val="Cmsor2Char"/>
    <w:qFormat/>
    <w:rsid w:val="005644C0"/>
    <w:pPr>
      <w:keepNext/>
      <w:tabs>
        <w:tab w:val="num" w:pos="0"/>
      </w:tabs>
      <w:spacing w:before="240" w:after="60"/>
      <w:outlineLvl w:val="1"/>
    </w:pPr>
    <w:rPr>
      <w:rFonts w:ascii="Helvetica" w:hAnsi="Helvetica" w:cs="Mangal"/>
      <w:b/>
      <w:i/>
      <w:sz w:val="24"/>
      <w:lang w:val="x-none" w:bidi="hi-IN"/>
    </w:rPr>
  </w:style>
  <w:style w:type="paragraph" w:styleId="Cmsor3">
    <w:name w:val="heading 3"/>
    <w:basedOn w:val="Norml"/>
    <w:next w:val="Norml"/>
    <w:link w:val="Cmsor3Char"/>
    <w:qFormat/>
    <w:rsid w:val="005644C0"/>
    <w:pPr>
      <w:keepNext/>
      <w:keepLines/>
      <w:tabs>
        <w:tab w:val="num" w:pos="0"/>
      </w:tabs>
      <w:spacing w:before="120" w:after="80"/>
      <w:outlineLvl w:val="2"/>
    </w:pPr>
    <w:rPr>
      <w:rFonts w:cs="Mangal"/>
      <w:b/>
      <w:kern w:val="1"/>
      <w:sz w:val="24"/>
      <w:lang w:val="en-US" w:bidi="hi-IN"/>
    </w:rPr>
  </w:style>
  <w:style w:type="paragraph" w:styleId="Cmsor4">
    <w:name w:val="heading 4"/>
    <w:basedOn w:val="Norml"/>
    <w:next w:val="Norml"/>
    <w:link w:val="Cmsor4Char"/>
    <w:qFormat/>
    <w:rsid w:val="005644C0"/>
    <w:pPr>
      <w:keepNext/>
      <w:tabs>
        <w:tab w:val="num" w:pos="0"/>
      </w:tabs>
      <w:jc w:val="both"/>
      <w:outlineLvl w:val="3"/>
    </w:pPr>
    <w:rPr>
      <w:rFonts w:cs="Mangal"/>
      <w:b/>
      <w:sz w:val="20"/>
      <w:lang w:val="x-none" w:bidi="hi-IN"/>
    </w:rPr>
  </w:style>
  <w:style w:type="paragraph" w:styleId="Cmsor5">
    <w:name w:val="heading 5"/>
    <w:basedOn w:val="Norml"/>
    <w:next w:val="Norml"/>
    <w:link w:val="Cmsor5Char"/>
    <w:qFormat/>
    <w:rsid w:val="005644C0"/>
    <w:pPr>
      <w:keepNext/>
      <w:tabs>
        <w:tab w:val="num" w:pos="0"/>
      </w:tabs>
      <w:jc w:val="both"/>
      <w:outlineLvl w:val="4"/>
    </w:pPr>
    <w:rPr>
      <w:rFonts w:cs="Mangal"/>
      <w:sz w:val="20"/>
      <w:lang w:val="x-none" w:bidi="hi-IN"/>
    </w:rPr>
  </w:style>
  <w:style w:type="paragraph" w:styleId="Cmsor6">
    <w:name w:val="heading 6"/>
    <w:basedOn w:val="Norml"/>
    <w:next w:val="Norml"/>
    <w:link w:val="Cmsor6Char"/>
    <w:qFormat/>
    <w:rsid w:val="005644C0"/>
    <w:pPr>
      <w:keepNext/>
      <w:tabs>
        <w:tab w:val="num" w:pos="0"/>
        <w:tab w:val="left" w:pos="567"/>
        <w:tab w:val="left" w:pos="4536"/>
      </w:tabs>
      <w:outlineLvl w:val="5"/>
    </w:pPr>
    <w:rPr>
      <w:rFonts w:cs="Mangal"/>
      <w:i/>
      <w:sz w:val="20"/>
      <w:lang w:val="x-none" w:bidi="hi-IN"/>
    </w:rPr>
  </w:style>
  <w:style w:type="paragraph" w:styleId="Cmsor7">
    <w:name w:val="heading 7"/>
    <w:basedOn w:val="Norml"/>
    <w:next w:val="Norml"/>
    <w:link w:val="Cmsor7Char"/>
    <w:qFormat/>
    <w:rsid w:val="005644C0"/>
    <w:pPr>
      <w:keepNext/>
      <w:tabs>
        <w:tab w:val="num" w:pos="0"/>
        <w:tab w:val="left" w:pos="567"/>
        <w:tab w:val="left" w:pos="4536"/>
      </w:tabs>
      <w:jc w:val="both"/>
      <w:outlineLvl w:val="6"/>
    </w:pPr>
    <w:rPr>
      <w:rFonts w:cs="Mangal"/>
      <w:i/>
      <w:sz w:val="20"/>
      <w:lang w:val="x-none" w:bidi="hi-IN"/>
    </w:rPr>
  </w:style>
  <w:style w:type="paragraph" w:styleId="Cmsor8">
    <w:name w:val="heading 8"/>
    <w:basedOn w:val="Norml"/>
    <w:next w:val="Norml"/>
    <w:link w:val="Cmsor8Char"/>
    <w:qFormat/>
    <w:rsid w:val="005644C0"/>
    <w:pPr>
      <w:keepNext/>
      <w:tabs>
        <w:tab w:val="num" w:pos="0"/>
      </w:tabs>
      <w:jc w:val="both"/>
      <w:outlineLvl w:val="7"/>
    </w:pPr>
    <w:rPr>
      <w:rFonts w:cs="Mangal"/>
      <w:b/>
      <w:i/>
      <w:sz w:val="20"/>
      <w:lang w:val="x-none" w:bidi="hi-IN"/>
    </w:rPr>
  </w:style>
  <w:style w:type="paragraph" w:styleId="Cmsor9">
    <w:name w:val="heading 9"/>
    <w:basedOn w:val="Norml"/>
    <w:next w:val="Norml"/>
    <w:link w:val="Cmsor9Char"/>
    <w:qFormat/>
    <w:rsid w:val="005644C0"/>
    <w:pPr>
      <w:keepNext/>
      <w:tabs>
        <w:tab w:val="num" w:pos="0"/>
      </w:tabs>
      <w:jc w:val="both"/>
      <w:outlineLvl w:val="8"/>
    </w:pPr>
    <w:rPr>
      <w:rFonts w:cs="Mangal"/>
      <w:b/>
      <w:i/>
      <w:sz w:val="20"/>
      <w:lang w:val="x-none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5644C0"/>
    <w:rPr>
      <w:rFonts w:ascii="Times New Roman" w:eastAsia="Times New Roman" w:hAnsi="Times New Roman" w:cs="Times New Roman"/>
      <w:b/>
      <w:caps/>
      <w:sz w:val="26"/>
      <w:szCs w:val="20"/>
      <w:lang w:val="en-US" w:eastAsia="hu-HU"/>
    </w:rPr>
  </w:style>
  <w:style w:type="character" w:customStyle="1" w:styleId="Cmsor2Char">
    <w:name w:val="Címsor 2 Char"/>
    <w:link w:val="Cmsor2"/>
    <w:rsid w:val="005644C0"/>
    <w:rPr>
      <w:rFonts w:ascii="Helvetica" w:eastAsia="Times New Roman" w:hAnsi="Helvetica" w:cs="Times New Roman"/>
      <w:b/>
      <w:i/>
      <w:sz w:val="24"/>
      <w:szCs w:val="20"/>
      <w:lang w:eastAsia="hu-HU"/>
    </w:rPr>
  </w:style>
  <w:style w:type="character" w:customStyle="1" w:styleId="Cmsor3Char">
    <w:name w:val="Címsor 3 Char"/>
    <w:link w:val="Cmsor3"/>
    <w:rsid w:val="005644C0"/>
    <w:rPr>
      <w:rFonts w:ascii="Times New Roman" w:eastAsia="Times New Roman" w:hAnsi="Times New Roman" w:cs="Times New Roman"/>
      <w:b/>
      <w:kern w:val="1"/>
      <w:sz w:val="24"/>
      <w:szCs w:val="20"/>
      <w:lang w:val="en-US" w:eastAsia="hu-HU"/>
    </w:rPr>
  </w:style>
  <w:style w:type="character" w:customStyle="1" w:styleId="Cmsor4Char">
    <w:name w:val="Címsor 4 Char"/>
    <w:link w:val="Cmsor4"/>
    <w:rsid w:val="005644C0"/>
    <w:rPr>
      <w:rFonts w:ascii="Times New Roman" w:eastAsia="Times New Roman" w:hAnsi="Times New Roman" w:cs="Times New Roman"/>
      <w:b/>
      <w:szCs w:val="20"/>
      <w:lang w:eastAsia="hu-HU"/>
    </w:rPr>
  </w:style>
  <w:style w:type="character" w:customStyle="1" w:styleId="Cmsor5Char">
    <w:name w:val="Címsor 5 Char"/>
    <w:link w:val="Cmsor5"/>
    <w:rsid w:val="005644C0"/>
    <w:rPr>
      <w:rFonts w:ascii="Times New Roman" w:eastAsia="Times New Roman" w:hAnsi="Times New Roman" w:cs="Times New Roman"/>
      <w:szCs w:val="20"/>
      <w:lang w:eastAsia="hu-HU"/>
    </w:rPr>
  </w:style>
  <w:style w:type="character" w:customStyle="1" w:styleId="Cmsor6Char">
    <w:name w:val="Címsor 6 Char"/>
    <w:link w:val="Cmsor6"/>
    <w:rsid w:val="005644C0"/>
    <w:rPr>
      <w:rFonts w:ascii="Times New Roman" w:eastAsia="Times New Roman" w:hAnsi="Times New Roman" w:cs="Times New Roman"/>
      <w:i/>
      <w:szCs w:val="20"/>
      <w:lang w:eastAsia="hu-HU"/>
    </w:rPr>
  </w:style>
  <w:style w:type="character" w:customStyle="1" w:styleId="Cmsor7Char">
    <w:name w:val="Címsor 7 Char"/>
    <w:link w:val="Cmsor7"/>
    <w:rsid w:val="005644C0"/>
    <w:rPr>
      <w:rFonts w:ascii="Times New Roman" w:eastAsia="Times New Roman" w:hAnsi="Times New Roman" w:cs="Times New Roman"/>
      <w:i/>
      <w:szCs w:val="20"/>
      <w:lang w:eastAsia="hu-HU"/>
    </w:rPr>
  </w:style>
  <w:style w:type="character" w:customStyle="1" w:styleId="Cmsor8Char">
    <w:name w:val="Címsor 8 Char"/>
    <w:link w:val="Cmsor8"/>
    <w:rsid w:val="005644C0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9Char">
    <w:name w:val="Címsor 9 Char"/>
    <w:link w:val="Cmsor9"/>
    <w:rsid w:val="005644C0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styleId="Oldalszm">
    <w:name w:val="page number"/>
    <w:basedOn w:val="Bekezdsalapbettpusa"/>
    <w:rsid w:val="005644C0"/>
  </w:style>
  <w:style w:type="paragraph" w:styleId="lfej">
    <w:name w:val="header"/>
    <w:basedOn w:val="Norml"/>
    <w:link w:val="lfejChar"/>
    <w:uiPriority w:val="99"/>
    <w:rsid w:val="005644C0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 w:cs="Mangal"/>
      <w:sz w:val="20"/>
      <w:lang w:val="x-none" w:bidi="hi-IN"/>
    </w:rPr>
  </w:style>
  <w:style w:type="character" w:customStyle="1" w:styleId="lfejChar">
    <w:name w:val="Élőfej Char"/>
    <w:link w:val="lfej"/>
    <w:uiPriority w:val="99"/>
    <w:rsid w:val="005644C0"/>
    <w:rPr>
      <w:rFonts w:ascii="Helvetica" w:eastAsia="Times New Roman" w:hAnsi="Helvetica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rsid w:val="005644C0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 w:cs="Mangal"/>
      <w:sz w:val="16"/>
      <w:lang w:val="x-none" w:bidi="hi-IN"/>
    </w:rPr>
  </w:style>
  <w:style w:type="character" w:customStyle="1" w:styleId="llbChar">
    <w:name w:val="Élőláb Char"/>
    <w:link w:val="llb"/>
    <w:rsid w:val="005644C0"/>
    <w:rPr>
      <w:rFonts w:ascii="Helvetica" w:eastAsia="Times New Roman" w:hAnsi="Helvetica" w:cs="Times New Roman"/>
      <w:sz w:val="16"/>
      <w:szCs w:val="20"/>
      <w:lang w:eastAsia="hu-HU"/>
    </w:rPr>
  </w:style>
  <w:style w:type="character" w:styleId="Hiperhivatkozs">
    <w:name w:val="Hyperlink"/>
    <w:rsid w:val="005644C0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5644C0"/>
    <w:pPr>
      <w:spacing w:line="260" w:lineRule="atLeast"/>
    </w:pPr>
    <w:rPr>
      <w:rFonts w:cs="Mangal"/>
      <w:sz w:val="20"/>
      <w:lang w:val="x-none" w:eastAsia="x-none" w:bidi="hi-IN"/>
    </w:rPr>
  </w:style>
  <w:style w:type="character" w:customStyle="1" w:styleId="VgjegyzetszvegeChar">
    <w:name w:val="Végjegyzet szövege Char"/>
    <w:link w:val="Vgjegyzetszvege"/>
    <w:semiHidden/>
    <w:rsid w:val="005644C0"/>
    <w:rPr>
      <w:rFonts w:ascii="Times New Roman" w:eastAsia="Times New Roman" w:hAnsi="Times New Roman" w:cs="Times New Roman"/>
      <w:szCs w:val="20"/>
      <w:lang w:val="x-none" w:eastAsia="x-none"/>
    </w:rPr>
  </w:style>
  <w:style w:type="paragraph" w:customStyle="1" w:styleId="EMEAEnBodyText">
    <w:name w:val="EMEA En Body Text"/>
    <w:basedOn w:val="Norml"/>
    <w:rsid w:val="005644C0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link w:val="BuborkszvegChar"/>
    <w:semiHidden/>
    <w:rsid w:val="005644C0"/>
    <w:rPr>
      <w:rFonts w:ascii="Tahoma" w:hAnsi="Tahoma" w:cs="Mangal"/>
      <w:sz w:val="16"/>
      <w:szCs w:val="16"/>
      <w:lang w:val="x-none" w:bidi="hi-IN"/>
    </w:rPr>
  </w:style>
  <w:style w:type="character" w:customStyle="1" w:styleId="BuborkszvegChar">
    <w:name w:val="Buborékszöveg Char"/>
    <w:link w:val="Buborkszveg"/>
    <w:semiHidden/>
    <w:rsid w:val="005644C0"/>
    <w:rPr>
      <w:rFonts w:ascii="Tahoma" w:eastAsia="Times New Roman" w:hAnsi="Tahoma" w:cs="Tahoma"/>
      <w:sz w:val="16"/>
      <w:szCs w:val="16"/>
      <w:lang w:eastAsia="hu-HU"/>
    </w:rPr>
  </w:style>
  <w:style w:type="character" w:styleId="Mrltotthiperhivatkozs">
    <w:name w:val="FollowedHyperlink"/>
    <w:rsid w:val="005644C0"/>
    <w:rPr>
      <w:color w:val="800080"/>
      <w:u w:val="single"/>
    </w:rPr>
  </w:style>
  <w:style w:type="paragraph" w:styleId="Listaszerbekezds">
    <w:name w:val="List Paragraph"/>
    <w:basedOn w:val="Norml"/>
    <w:uiPriority w:val="34"/>
    <w:qFormat/>
    <w:rsid w:val="005644C0"/>
    <w:pPr>
      <w:ind w:left="720"/>
      <w:contextualSpacing/>
    </w:pPr>
  </w:style>
  <w:style w:type="paragraph" w:styleId="Szvegtrzs">
    <w:name w:val="Body Text"/>
    <w:basedOn w:val="Norml"/>
    <w:link w:val="SzvegtrzsChar"/>
    <w:rsid w:val="005644C0"/>
    <w:pPr>
      <w:spacing w:line="240" w:lineRule="auto"/>
    </w:pPr>
    <w:rPr>
      <w:rFonts w:cs="Mangal"/>
      <w:sz w:val="24"/>
      <w:lang w:val="x-none" w:eastAsia="ar-SA" w:bidi="hi-IN"/>
    </w:rPr>
  </w:style>
  <w:style w:type="character" w:customStyle="1" w:styleId="SzvegtrzsChar">
    <w:name w:val="Szövegtörzs Char"/>
    <w:link w:val="Szvegtrzs"/>
    <w:rsid w:val="005644C0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customStyle="1" w:styleId="tabletextNS">
    <w:name w:val="table:textNS"/>
    <w:basedOn w:val="Norml"/>
    <w:rsid w:val="005644C0"/>
    <w:pPr>
      <w:suppressAutoHyphens w:val="0"/>
      <w:spacing w:line="240" w:lineRule="auto"/>
    </w:pPr>
    <w:rPr>
      <w:rFonts w:ascii="Arial Narrow" w:hAnsi="Arial Narrow"/>
      <w:sz w:val="24"/>
      <w:lang w:val="en-GB" w:eastAsia="en-US"/>
    </w:rPr>
  </w:style>
  <w:style w:type="paragraph" w:customStyle="1" w:styleId="Default">
    <w:name w:val="Default"/>
    <w:rsid w:val="005644C0"/>
    <w:pPr>
      <w:autoSpaceDE w:val="0"/>
      <w:autoSpaceDN w:val="0"/>
      <w:adjustRightInd w:val="0"/>
    </w:pPr>
    <w:rPr>
      <w:rFonts w:ascii="Times New Roman" w:eastAsia="Times New Roman" w:hAnsi="Times New Roman"/>
      <w:lang w:val="en-US" w:eastAsia="en-US"/>
    </w:rPr>
  </w:style>
  <w:style w:type="paragraph" w:styleId="NormlWeb">
    <w:name w:val="Normal (Web)"/>
    <w:basedOn w:val="Norml"/>
    <w:rsid w:val="005644C0"/>
    <w:pPr>
      <w:suppressAutoHyphens w:val="0"/>
      <w:spacing w:before="100" w:beforeAutospacing="1" w:after="58" w:line="240" w:lineRule="auto"/>
    </w:pPr>
    <w:rPr>
      <w:color w:val="000000"/>
      <w:sz w:val="24"/>
      <w:szCs w:val="24"/>
      <w:lang w:val="en-GB" w:eastAsia="en-GB"/>
    </w:rPr>
  </w:style>
  <w:style w:type="paragraph" w:customStyle="1" w:styleId="Postspace">
    <w:name w:val="Postspace"/>
    <w:basedOn w:val="Norml"/>
    <w:autoRedefine/>
    <w:rsid w:val="005644C0"/>
    <w:pPr>
      <w:suppressAutoHyphens w:val="0"/>
      <w:spacing w:after="220" w:line="240" w:lineRule="auto"/>
    </w:pPr>
    <w:rPr>
      <w:sz w:val="24"/>
      <w:lang w:val="en-GB" w:eastAsia="en-US"/>
    </w:rPr>
  </w:style>
  <w:style w:type="paragraph" w:customStyle="1" w:styleId="TableCell">
    <w:name w:val="TableCell"/>
    <w:basedOn w:val="Norml"/>
    <w:rsid w:val="005644C0"/>
    <w:pPr>
      <w:suppressAutoHyphens w:val="0"/>
      <w:spacing w:line="240" w:lineRule="auto"/>
    </w:pPr>
    <w:rPr>
      <w:sz w:val="24"/>
      <w:lang w:val="en-GB" w:eastAsia="en-US"/>
    </w:rPr>
  </w:style>
  <w:style w:type="paragraph" w:customStyle="1" w:styleId="anchor">
    <w:name w:val="anchor"/>
    <w:basedOn w:val="Norml"/>
    <w:autoRedefine/>
    <w:rsid w:val="005644C0"/>
    <w:pPr>
      <w:suppressAutoHyphens w:val="0"/>
      <w:spacing w:line="240" w:lineRule="auto"/>
    </w:pPr>
    <w:rPr>
      <w:sz w:val="24"/>
      <w:lang w:val="en-GB" w:eastAsia="en-US"/>
    </w:rPr>
  </w:style>
  <w:style w:type="character" w:customStyle="1" w:styleId="DeltaViewMoveSource">
    <w:name w:val="DeltaView Move Source"/>
    <w:rsid w:val="005644C0"/>
    <w:rPr>
      <w:strike/>
      <w:color w:val="00C000"/>
      <w:spacing w:val="0"/>
    </w:rPr>
  </w:style>
  <w:style w:type="character" w:styleId="Jegyzethivatkozs">
    <w:name w:val="annotation reference"/>
    <w:rsid w:val="005644C0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644C0"/>
    <w:rPr>
      <w:rFonts w:cs="Mangal"/>
      <w:sz w:val="20"/>
      <w:lang w:val="x-none" w:bidi="hi-IN"/>
    </w:rPr>
  </w:style>
  <w:style w:type="character" w:customStyle="1" w:styleId="JegyzetszvegChar">
    <w:name w:val="Jegyzetszöveg Char"/>
    <w:link w:val="Jegyzetszveg"/>
    <w:rsid w:val="005644C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rsid w:val="005644C0"/>
    <w:rPr>
      <w:b/>
      <w:bCs/>
      <w:lang w:eastAsia="x-none"/>
    </w:rPr>
  </w:style>
  <w:style w:type="character" w:customStyle="1" w:styleId="MegjegyzstrgyaChar">
    <w:name w:val="Megjegyzés tárgya Char"/>
    <w:link w:val="Megjegyzstrgya"/>
    <w:rsid w:val="005644C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Vltozat">
    <w:name w:val="Revision"/>
    <w:hidden/>
    <w:uiPriority w:val="99"/>
    <w:semiHidden/>
    <w:rsid w:val="005644C0"/>
    <w:rPr>
      <w:rFonts w:ascii="Times New Roman" w:eastAsia="Times New Roman" w:hAnsi="Times New Roman"/>
      <w:sz w:val="22"/>
    </w:rPr>
  </w:style>
  <w:style w:type="paragraph" w:customStyle="1" w:styleId="Header1">
    <w:name w:val="Header1"/>
    <w:rsid w:val="005644C0"/>
    <w:pPr>
      <w:suppressAutoHyphens/>
      <w:spacing w:line="260" w:lineRule="exact"/>
    </w:pPr>
    <w:rPr>
      <w:rFonts w:ascii="Arial" w:eastAsia="Times New Roman" w:hAnsi="Arial"/>
      <w:b/>
      <w:u w:val="single"/>
      <w:lang w:val="en-GB" w:eastAsia="en-US"/>
    </w:rPr>
  </w:style>
  <w:style w:type="paragraph" w:customStyle="1" w:styleId="Footer1">
    <w:name w:val="Footer1"/>
    <w:rsid w:val="005644C0"/>
    <w:rPr>
      <w:rFonts w:ascii="Arial" w:eastAsia="Times New Roman" w:hAnsi="Arial"/>
      <w:sz w:val="16"/>
      <w:lang w:val="en-GB" w:eastAsia="en-US"/>
    </w:rPr>
  </w:style>
  <w:style w:type="paragraph" w:styleId="Lbjegyzetszveg">
    <w:name w:val="footnote text"/>
    <w:basedOn w:val="Norml"/>
    <w:link w:val="LbjegyzetszvegChar"/>
    <w:rsid w:val="005644C0"/>
    <w:pPr>
      <w:tabs>
        <w:tab w:val="left" w:pos="567"/>
      </w:tabs>
      <w:suppressAutoHyphens w:val="0"/>
    </w:pPr>
    <w:rPr>
      <w:rFonts w:cs="Mangal"/>
      <w:sz w:val="20"/>
      <w:lang w:val="en-GB" w:eastAsia="x-none" w:bidi="hi-IN"/>
    </w:rPr>
  </w:style>
  <w:style w:type="character" w:customStyle="1" w:styleId="LbjegyzetszvegChar">
    <w:name w:val="Lábjegyzetszöveg Char"/>
    <w:link w:val="Lbjegyzetszveg"/>
    <w:rsid w:val="005644C0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Lbjegyzet-hivatkozs">
    <w:name w:val="footnote reference"/>
    <w:rsid w:val="005644C0"/>
    <w:rPr>
      <w:vertAlign w:val="superscript"/>
    </w:rPr>
  </w:style>
  <w:style w:type="paragraph" w:customStyle="1" w:styleId="BodytextAgency">
    <w:name w:val="Body text (Agency)"/>
    <w:basedOn w:val="Norml"/>
    <w:link w:val="BodytextAgencyChar"/>
    <w:rsid w:val="005644C0"/>
    <w:pPr>
      <w:suppressAutoHyphens w:val="0"/>
      <w:spacing w:after="140" w:line="280" w:lineRule="atLeast"/>
    </w:pPr>
    <w:rPr>
      <w:rFonts w:ascii="Verdana" w:eastAsia="Verdana" w:hAnsi="Verdana" w:cs="Mangal"/>
      <w:sz w:val="18"/>
      <w:szCs w:val="18"/>
      <w:lang w:val="en-GB" w:eastAsia="en-GB" w:bidi="hi-IN"/>
    </w:rPr>
  </w:style>
  <w:style w:type="character" w:customStyle="1" w:styleId="BodytextAgencyChar">
    <w:name w:val="Body text (Agency) Char"/>
    <w:link w:val="BodytextAgency"/>
    <w:rsid w:val="005644C0"/>
    <w:rPr>
      <w:rFonts w:ascii="Verdana" w:eastAsia="Verdana" w:hAnsi="Verdana" w:cs="Times New Roman"/>
      <w:sz w:val="18"/>
      <w:szCs w:val="18"/>
      <w:lang w:val="en-GB" w:eastAsia="en-GB"/>
    </w:rPr>
  </w:style>
  <w:style w:type="paragraph" w:customStyle="1" w:styleId="No-numheading1Agency">
    <w:name w:val="No-num heading 1 (Agency)"/>
    <w:basedOn w:val="Norml"/>
    <w:next w:val="BodytextAgency"/>
    <w:link w:val="No-numheading1AgencyChar"/>
    <w:rsid w:val="005644C0"/>
    <w:pPr>
      <w:keepNext/>
      <w:suppressAutoHyphens w:val="0"/>
      <w:spacing w:before="280" w:after="220" w:line="240" w:lineRule="auto"/>
      <w:outlineLvl w:val="0"/>
    </w:pPr>
    <w:rPr>
      <w:rFonts w:ascii="Verdana" w:eastAsia="Verdana" w:hAnsi="Verdana" w:cs="Mangal"/>
      <w:b/>
      <w:bCs/>
      <w:kern w:val="32"/>
      <w:sz w:val="27"/>
      <w:szCs w:val="27"/>
      <w:lang w:val="en-GB" w:eastAsia="en-GB" w:bidi="hi-IN"/>
    </w:rPr>
  </w:style>
  <w:style w:type="character" w:customStyle="1" w:styleId="No-numheading1AgencyChar">
    <w:name w:val="No-num heading 1 (Agency) Char"/>
    <w:link w:val="No-numheading1Agency"/>
    <w:rsid w:val="005644C0"/>
    <w:rPr>
      <w:rFonts w:ascii="Verdana" w:eastAsia="Verdana" w:hAnsi="Verdana" w:cs="Times New Roman"/>
      <w:b/>
      <w:bCs/>
      <w:kern w:val="32"/>
      <w:sz w:val="27"/>
      <w:szCs w:val="27"/>
      <w:lang w:val="en-GB" w:eastAsia="en-GB"/>
    </w:rPr>
  </w:style>
  <w:style w:type="paragraph" w:customStyle="1" w:styleId="No-numheading2Agency">
    <w:name w:val="No-num heading 2 (Agency)"/>
    <w:basedOn w:val="Norml"/>
    <w:next w:val="BodytextAgency"/>
    <w:link w:val="No-numheading2AgencyChar"/>
    <w:rsid w:val="005644C0"/>
    <w:pPr>
      <w:keepNext/>
      <w:suppressAutoHyphens w:val="0"/>
      <w:spacing w:before="280" w:after="220" w:line="240" w:lineRule="auto"/>
      <w:outlineLvl w:val="1"/>
    </w:pPr>
    <w:rPr>
      <w:rFonts w:ascii="Verdana" w:eastAsia="Verdana" w:hAnsi="Verdana" w:cs="Mangal"/>
      <w:b/>
      <w:bCs/>
      <w:i/>
      <w:kern w:val="32"/>
      <w:sz w:val="20"/>
      <w:lang w:val="en-GB" w:eastAsia="en-GB" w:bidi="hi-IN"/>
    </w:rPr>
  </w:style>
  <w:style w:type="character" w:customStyle="1" w:styleId="No-numheading2AgencyChar">
    <w:name w:val="No-num heading 2 (Agency) Char"/>
    <w:link w:val="No-numheading2Agency"/>
    <w:rsid w:val="005644C0"/>
    <w:rPr>
      <w:rFonts w:ascii="Verdana" w:eastAsia="Verdana" w:hAnsi="Verdana" w:cs="Times New Roman"/>
      <w:b/>
      <w:bCs/>
      <w:i/>
      <w:kern w:val="32"/>
      <w:lang w:val="en-GB" w:eastAsia="en-GB"/>
    </w:rPr>
  </w:style>
  <w:style w:type="paragraph" w:customStyle="1" w:styleId="CharChar1CharCharCharCharCharChar1CharCharCharCharCharChar">
    <w:name w:val="Char Char1 Char Char Char Char Char Char1 Char Char Char Char Char Char"/>
    <w:basedOn w:val="Norml"/>
    <w:rsid w:val="005644C0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Verdana" w:eastAsia="SimSun" w:hAnsi="Verdana"/>
      <w:sz w:val="20"/>
      <w:lang w:val="en-US" w:eastAsia="zh-CN"/>
    </w:rPr>
  </w:style>
  <w:style w:type="paragraph" w:customStyle="1" w:styleId="MessageHeaderFirst">
    <w:name w:val="Message Header First"/>
    <w:rsid w:val="005644C0"/>
    <w:pPr>
      <w:tabs>
        <w:tab w:val="left" w:pos="567"/>
      </w:tabs>
    </w:pPr>
    <w:rPr>
      <w:lang w:val="en-GB" w:eastAsia="en-US"/>
    </w:rPr>
  </w:style>
  <w:style w:type="paragraph" w:styleId="zenetfej">
    <w:name w:val="Message Header"/>
    <w:basedOn w:val="Norml"/>
    <w:link w:val="zenetfejChar"/>
    <w:uiPriority w:val="99"/>
    <w:unhideWhenUsed/>
    <w:rsid w:val="005644C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tabs>
        <w:tab w:val="left" w:pos="567"/>
      </w:tabs>
      <w:suppressAutoHyphens w:val="0"/>
      <w:ind w:left="1134" w:hanging="1134"/>
    </w:pPr>
    <w:rPr>
      <w:rFonts w:ascii="Cambria" w:hAnsi="Cambria" w:cs="Mangal"/>
      <w:sz w:val="24"/>
      <w:szCs w:val="24"/>
      <w:lang w:val="en-GB" w:eastAsia="x-none" w:bidi="hi-IN"/>
    </w:rPr>
  </w:style>
  <w:style w:type="character" w:customStyle="1" w:styleId="zenetfejChar">
    <w:name w:val="Üzenetfej Char"/>
    <w:link w:val="zenetfej"/>
    <w:uiPriority w:val="99"/>
    <w:rsid w:val="005644C0"/>
    <w:rPr>
      <w:rFonts w:ascii="Cambria" w:eastAsia="Times New Roman" w:hAnsi="Cambria" w:cs="Times New Roman"/>
      <w:sz w:val="24"/>
      <w:szCs w:val="24"/>
      <w:shd w:val="pct20" w:color="auto" w:fill="auto"/>
      <w:lang w:val="en-GB"/>
    </w:rPr>
  </w:style>
  <w:style w:type="paragraph" w:customStyle="1" w:styleId="WW-Szvegtrzs3">
    <w:name w:val="WW-Szövegtörzs 3"/>
    <w:basedOn w:val="Norml"/>
    <w:rsid w:val="005644C0"/>
    <w:pPr>
      <w:spacing w:line="240" w:lineRule="auto"/>
    </w:pPr>
  </w:style>
  <w:style w:type="paragraph" w:customStyle="1" w:styleId="WW-Szvegtrzs2">
    <w:name w:val="WW-Szövegtörzs 2"/>
    <w:basedOn w:val="Norml"/>
    <w:rsid w:val="00632EFA"/>
    <w:pPr>
      <w:spacing w:line="240" w:lineRule="auto"/>
    </w:pPr>
    <w:rPr>
      <w:rFonts w:ascii="H-Times New Roman" w:hAnsi="H-Times New Roman"/>
      <w:sz w:val="24"/>
      <w:lang w:val="en-US"/>
    </w:rPr>
  </w:style>
  <w:style w:type="paragraph" w:styleId="Alcm">
    <w:name w:val="Subtitle"/>
    <w:basedOn w:val="Norml"/>
    <w:next w:val="Szvegtrzs"/>
    <w:link w:val="AlcmChar"/>
    <w:qFormat/>
    <w:rsid w:val="00322158"/>
    <w:pPr>
      <w:widowControl w:val="0"/>
      <w:suppressAutoHyphens w:val="0"/>
      <w:spacing w:line="240" w:lineRule="auto"/>
      <w:jc w:val="center"/>
    </w:pPr>
    <w:rPr>
      <w:rFonts w:ascii="Courier New" w:hAnsi="Courier New" w:cs="Mangal"/>
      <w:b/>
      <w:sz w:val="28"/>
      <w:szCs w:val="24"/>
      <w:lang w:val="x-none" w:bidi="hi-IN"/>
    </w:rPr>
  </w:style>
  <w:style w:type="character" w:customStyle="1" w:styleId="AlcmChar">
    <w:name w:val="Alcím Char"/>
    <w:link w:val="Alcm"/>
    <w:rsid w:val="00322158"/>
    <w:rPr>
      <w:rFonts w:ascii="Courier New" w:eastAsia="Times New Roman" w:hAnsi="Courier New"/>
      <w:b/>
      <w:sz w:val="28"/>
      <w:szCs w:val="24"/>
    </w:rPr>
  </w:style>
  <w:style w:type="paragraph" w:styleId="Cm">
    <w:name w:val="Title"/>
    <w:basedOn w:val="Norml"/>
    <w:link w:val="CmChar"/>
    <w:qFormat/>
    <w:rsid w:val="00ED3B98"/>
    <w:pPr>
      <w:suppressAutoHyphens w:val="0"/>
      <w:spacing w:line="240" w:lineRule="auto"/>
      <w:jc w:val="center"/>
    </w:pPr>
    <w:rPr>
      <w:b/>
      <w:lang w:val="en-GB" w:eastAsia="en-US"/>
    </w:rPr>
  </w:style>
  <w:style w:type="character" w:customStyle="1" w:styleId="CmChar">
    <w:name w:val="Cím Char"/>
    <w:basedOn w:val="Bekezdsalapbettpusa"/>
    <w:link w:val="Cm"/>
    <w:rsid w:val="00ED3B98"/>
    <w:rPr>
      <w:rFonts w:ascii="Times New Roman" w:eastAsia="Times New Roman" w:hAnsi="Times New Roman"/>
      <w:b/>
      <w:sz w:val="22"/>
      <w:lang w:val="en-GB" w:eastAsia="en-US"/>
    </w:rPr>
  </w:style>
  <w:style w:type="paragraph" w:styleId="Nincstrkz">
    <w:name w:val="No Spacing"/>
    <w:uiPriority w:val="1"/>
    <w:qFormat/>
    <w:rsid w:val="009F2B85"/>
    <w:rPr>
      <w:sz w:val="22"/>
      <w:szCs w:val="22"/>
      <w:lang w:val="en-US" w:eastAsia="en-US"/>
    </w:rPr>
  </w:style>
  <w:style w:type="character" w:styleId="Feloldatlanmegemlts">
    <w:name w:val="Unresolved Mention"/>
    <w:basedOn w:val="Bekezdsalapbettpusa"/>
    <w:uiPriority w:val="99"/>
    <w:semiHidden/>
    <w:unhideWhenUsed/>
    <w:rsid w:val="00762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AB294-40F0-49EE-BA80-AA5EECAB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17</Pages>
  <Words>4856</Words>
  <Characters>33511</Characters>
  <Application>Microsoft Office Word</Application>
  <DocSecurity>0</DocSecurity>
  <Lines>279</Lines>
  <Paragraphs>76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GlaxoSmithKline</Company>
  <LinksUpToDate>false</LinksUpToDate>
  <CharactersWithSpaces>38291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</dc:creator>
  <cp:keywords/>
  <cp:lastModifiedBy>HU_NNGYK_56.1</cp:lastModifiedBy>
  <cp:revision>25</cp:revision>
  <dcterms:created xsi:type="dcterms:W3CDTF">2024-05-31T09:52:00Z</dcterms:created>
  <dcterms:modified xsi:type="dcterms:W3CDTF">2026-03-16T10:44:00Z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2023-05-30T12:20:26Z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d65f47b8-e061-4a32-a0cf-6b52cb542564</vt:lpwstr>
  </property>
  <property fmtid="{D5CDD505-2E9C-101B-9397-08002B2CF9AE}" pid="8" name="MSIP_Label_3c9bec58-8084-492e-8360-0e1cfe36408c_ContentBits">
    <vt:lpwstr>0</vt:lpwstr>
  </property>
</Properties>
</file>