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24648" w14:textId="77777777" w:rsidR="00736B52" w:rsidRPr="00D93A6F" w:rsidRDefault="00736B52" w:rsidP="00572AD1">
      <w:pPr>
        <w:ind w:left="567" w:hanging="567"/>
        <w:rPr>
          <w:b/>
          <w:bCs/>
          <w:sz w:val="22"/>
          <w:szCs w:val="22"/>
        </w:rPr>
      </w:pPr>
      <w:bookmarkStart w:id="0" w:name="_GoBack"/>
      <w:bookmarkEnd w:id="0"/>
      <w:r w:rsidRPr="00D93A6F">
        <w:rPr>
          <w:b/>
          <w:bCs/>
          <w:sz w:val="22"/>
          <w:szCs w:val="22"/>
        </w:rPr>
        <w:t>1.</w:t>
      </w:r>
      <w:r w:rsidRPr="00D93A6F">
        <w:rPr>
          <w:b/>
          <w:bCs/>
          <w:sz w:val="22"/>
          <w:szCs w:val="22"/>
        </w:rPr>
        <w:tab/>
        <w:t>A GYÓGYSZER NEVE</w:t>
      </w:r>
    </w:p>
    <w:p w14:paraId="621EE20A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55D28813" w14:textId="77777777" w:rsidR="00736B52" w:rsidRPr="00D93A6F" w:rsidRDefault="00736B52" w:rsidP="00572AD1">
      <w:pPr>
        <w:ind w:left="-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Propycil 50 mg tabletta</w:t>
      </w:r>
    </w:p>
    <w:p w14:paraId="08BB3711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113C4BD0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51352CB9" w14:textId="77777777" w:rsidR="00736B52" w:rsidRPr="00D93A6F" w:rsidRDefault="00736B52" w:rsidP="00572AD1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2.</w:t>
      </w:r>
      <w:r w:rsidRPr="00D93A6F">
        <w:rPr>
          <w:b/>
          <w:bCs/>
          <w:sz w:val="22"/>
          <w:szCs w:val="22"/>
        </w:rPr>
        <w:tab/>
        <w:t>MINŐSÉGI ÉS MENNYISÉGI ÖSSZETÉTEL</w:t>
      </w:r>
    </w:p>
    <w:p w14:paraId="00019DF6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5915974B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50 mg propiltiouracil</w:t>
      </w:r>
      <w:r w:rsidR="009803FF" w:rsidRPr="00D93A6F">
        <w:rPr>
          <w:sz w:val="22"/>
          <w:szCs w:val="22"/>
        </w:rPr>
        <w:t>t tartalmaz</w:t>
      </w:r>
      <w:r w:rsidRPr="00D93A6F">
        <w:rPr>
          <w:sz w:val="22"/>
          <w:szCs w:val="22"/>
        </w:rPr>
        <w:t xml:space="preserve"> tablettánként.</w:t>
      </w:r>
    </w:p>
    <w:p w14:paraId="2C5A098A" w14:textId="77777777" w:rsidR="00736B52" w:rsidRPr="00D93A6F" w:rsidRDefault="00736B52" w:rsidP="00572AD1">
      <w:pPr>
        <w:rPr>
          <w:sz w:val="22"/>
          <w:szCs w:val="22"/>
        </w:rPr>
      </w:pPr>
    </w:p>
    <w:p w14:paraId="152CCD0D" w14:textId="77777777" w:rsidR="00736B52" w:rsidRPr="00D93A6F" w:rsidRDefault="009803FF" w:rsidP="00572AD1">
      <w:pPr>
        <w:rPr>
          <w:iCs/>
          <w:sz w:val="22"/>
          <w:szCs w:val="22"/>
        </w:rPr>
      </w:pPr>
      <w:r w:rsidRPr="00D93A6F">
        <w:rPr>
          <w:iCs/>
          <w:sz w:val="22"/>
          <w:szCs w:val="22"/>
          <w:u w:val="single"/>
        </w:rPr>
        <w:t>Ismert hatású s</w:t>
      </w:r>
      <w:r w:rsidR="00736B52" w:rsidRPr="00D93A6F">
        <w:rPr>
          <w:iCs/>
          <w:sz w:val="22"/>
          <w:szCs w:val="22"/>
          <w:u w:val="single"/>
        </w:rPr>
        <w:t>egédanyag</w:t>
      </w:r>
      <w:r w:rsidRPr="00D93A6F">
        <w:rPr>
          <w:iCs/>
          <w:sz w:val="22"/>
          <w:szCs w:val="22"/>
          <w:u w:val="single"/>
        </w:rPr>
        <w:t>(ok)</w:t>
      </w:r>
      <w:r w:rsidR="00736B52" w:rsidRPr="00D93A6F">
        <w:rPr>
          <w:iCs/>
          <w:sz w:val="22"/>
          <w:szCs w:val="22"/>
          <w:u w:val="single"/>
        </w:rPr>
        <w:t>:</w:t>
      </w:r>
      <w:r w:rsidR="00736B52" w:rsidRPr="00D93A6F">
        <w:rPr>
          <w:iCs/>
          <w:sz w:val="22"/>
          <w:szCs w:val="22"/>
        </w:rPr>
        <w:t xml:space="preserve"> 73,9 mg laktóz-monohidrát</w:t>
      </w:r>
      <w:r w:rsidRPr="00D93A6F">
        <w:rPr>
          <w:iCs/>
          <w:sz w:val="22"/>
          <w:szCs w:val="22"/>
        </w:rPr>
        <w:t>ot tartalmaz</w:t>
      </w:r>
      <w:r w:rsidR="00736B52" w:rsidRPr="00D93A6F">
        <w:rPr>
          <w:iCs/>
          <w:sz w:val="22"/>
          <w:szCs w:val="22"/>
        </w:rPr>
        <w:t xml:space="preserve"> tablettánként.</w:t>
      </w:r>
    </w:p>
    <w:p w14:paraId="72C31DFF" w14:textId="77777777" w:rsidR="00736B52" w:rsidRPr="00D93A6F" w:rsidRDefault="00736B52" w:rsidP="00572AD1">
      <w:pPr>
        <w:rPr>
          <w:sz w:val="22"/>
          <w:szCs w:val="22"/>
        </w:rPr>
      </w:pPr>
    </w:p>
    <w:p w14:paraId="4262BB45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segédanyagok teljes listáját lásd a 6.1 pontban.</w:t>
      </w:r>
    </w:p>
    <w:p w14:paraId="60B714D0" w14:textId="77777777" w:rsidR="00736B52" w:rsidRPr="00D93A6F" w:rsidRDefault="00736B52" w:rsidP="00572AD1">
      <w:pPr>
        <w:rPr>
          <w:sz w:val="22"/>
          <w:szCs w:val="22"/>
        </w:rPr>
      </w:pPr>
    </w:p>
    <w:p w14:paraId="6AA66C17" w14:textId="77777777" w:rsidR="00736B52" w:rsidRPr="00D93A6F" w:rsidRDefault="00736B52" w:rsidP="00572AD1">
      <w:pPr>
        <w:rPr>
          <w:sz w:val="22"/>
          <w:szCs w:val="22"/>
        </w:rPr>
      </w:pPr>
    </w:p>
    <w:p w14:paraId="0D8DAA37" w14:textId="77777777" w:rsidR="00736B52" w:rsidRPr="00D93A6F" w:rsidRDefault="00736B52" w:rsidP="00572AD1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3.</w:t>
      </w:r>
      <w:r w:rsidRPr="00D93A6F">
        <w:rPr>
          <w:b/>
          <w:sz w:val="22"/>
          <w:szCs w:val="22"/>
        </w:rPr>
        <w:tab/>
        <w:t>GYÓGYSZERFORMA</w:t>
      </w:r>
    </w:p>
    <w:p w14:paraId="0EC7BD20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1FAF307F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Tabletta. </w:t>
      </w:r>
    </w:p>
    <w:p w14:paraId="1EE430A3" w14:textId="77777777" w:rsidR="009803FF" w:rsidRPr="00D93A6F" w:rsidRDefault="009803FF" w:rsidP="00572AD1">
      <w:pPr>
        <w:ind w:left="-15"/>
        <w:rPr>
          <w:sz w:val="22"/>
          <w:szCs w:val="22"/>
        </w:rPr>
      </w:pPr>
    </w:p>
    <w:p w14:paraId="332A8F0B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Kerek, fehér, </w:t>
      </w:r>
      <w:r w:rsidR="00E46EC8" w:rsidRPr="00D93A6F">
        <w:rPr>
          <w:sz w:val="22"/>
          <w:szCs w:val="22"/>
        </w:rPr>
        <w:t>mindkét oldalán domború,</w:t>
      </w:r>
      <w:r w:rsidRPr="00D93A6F">
        <w:rPr>
          <w:sz w:val="22"/>
          <w:szCs w:val="22"/>
        </w:rPr>
        <w:t xml:space="preserve"> </w:t>
      </w:r>
      <w:r w:rsidR="00665E24" w:rsidRPr="00D93A6F">
        <w:rPr>
          <w:sz w:val="22"/>
          <w:szCs w:val="22"/>
        </w:rPr>
        <w:t xml:space="preserve">egyik </w:t>
      </w:r>
      <w:r w:rsidRPr="00D93A6F">
        <w:rPr>
          <w:sz w:val="22"/>
          <w:szCs w:val="22"/>
        </w:rPr>
        <w:t xml:space="preserve">oldalán </w:t>
      </w:r>
      <w:r w:rsidR="00B9663A" w:rsidRPr="00D93A6F">
        <w:rPr>
          <w:sz w:val="22"/>
          <w:szCs w:val="22"/>
        </w:rPr>
        <w:t xml:space="preserve">bemetszéssel </w:t>
      </w:r>
      <w:r w:rsidRPr="00D93A6F">
        <w:rPr>
          <w:sz w:val="22"/>
          <w:szCs w:val="22"/>
        </w:rPr>
        <w:t xml:space="preserve">ellátott tabletta. </w:t>
      </w:r>
    </w:p>
    <w:p w14:paraId="02BE6AD2" w14:textId="77777777" w:rsidR="00736B52" w:rsidRPr="00D93A6F" w:rsidRDefault="00570366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tabletta egyenlő adagokra osztható.</w:t>
      </w:r>
    </w:p>
    <w:p w14:paraId="5E14BB40" w14:textId="77777777" w:rsidR="00736B52" w:rsidRPr="00D93A6F" w:rsidRDefault="00736B52" w:rsidP="00572AD1">
      <w:pPr>
        <w:rPr>
          <w:sz w:val="22"/>
          <w:szCs w:val="22"/>
        </w:rPr>
      </w:pPr>
    </w:p>
    <w:p w14:paraId="5C607299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7B193B15" w14:textId="77777777" w:rsidR="00736B52" w:rsidRPr="00D93A6F" w:rsidRDefault="00736B52" w:rsidP="00572AD1">
      <w:pPr>
        <w:tabs>
          <w:tab w:val="left" w:pos="708"/>
        </w:tabs>
        <w:ind w:left="567" w:hanging="567"/>
        <w:rPr>
          <w:b/>
          <w:bCs/>
          <w:caps/>
          <w:sz w:val="22"/>
          <w:szCs w:val="22"/>
        </w:rPr>
      </w:pPr>
      <w:r w:rsidRPr="00D93A6F">
        <w:rPr>
          <w:b/>
          <w:bCs/>
          <w:caps/>
          <w:sz w:val="22"/>
          <w:szCs w:val="22"/>
        </w:rPr>
        <w:t>4.</w:t>
      </w:r>
      <w:r w:rsidRPr="00D93A6F">
        <w:rPr>
          <w:b/>
          <w:bCs/>
          <w:caps/>
          <w:sz w:val="22"/>
          <w:szCs w:val="22"/>
        </w:rPr>
        <w:tab/>
        <w:t>KLINIKAI JELLEMZŐK</w:t>
      </w:r>
    </w:p>
    <w:p w14:paraId="11FC9D3A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232872A5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4.1</w:t>
      </w:r>
      <w:r w:rsidRPr="00D93A6F">
        <w:rPr>
          <w:b/>
          <w:sz w:val="22"/>
          <w:szCs w:val="22"/>
        </w:rPr>
        <w:tab/>
        <w:t>Terápiás javallatok</w:t>
      </w:r>
    </w:p>
    <w:p w14:paraId="61C2DCBC" w14:textId="77777777" w:rsidR="00736B52" w:rsidRPr="00D93A6F" w:rsidRDefault="00736B52" w:rsidP="00572AD1">
      <w:pPr>
        <w:rPr>
          <w:sz w:val="22"/>
          <w:szCs w:val="22"/>
        </w:rPr>
      </w:pPr>
    </w:p>
    <w:p w14:paraId="0B9B0C5D" w14:textId="77777777" w:rsidR="00736B52" w:rsidRPr="00D93A6F" w:rsidRDefault="00736B52" w:rsidP="00572AD1">
      <w:pPr>
        <w:pStyle w:val="Szvegtrzsbehzssal"/>
        <w:ind w:left="-15"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Hyperthyreosis kezelése (Basedow-kórban, valamint a pajzsmirigy toxikus autonóm adenomája esetén stb.); hyperthyreosis miatt szükségessé váló thyreoidectomia, ill. radiojód-terápia előkészítése.</w:t>
      </w:r>
    </w:p>
    <w:p w14:paraId="56360D1F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72A24715" w14:textId="77777777" w:rsidR="00736B52" w:rsidRPr="00D93A6F" w:rsidRDefault="00736B52" w:rsidP="00572AD1">
      <w:pPr>
        <w:ind w:hanging="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4.2</w:t>
      </w:r>
      <w:r w:rsidRPr="00D93A6F">
        <w:rPr>
          <w:b/>
          <w:sz w:val="22"/>
          <w:szCs w:val="22"/>
        </w:rPr>
        <w:tab/>
        <w:t>Adagolás és alkalmazás</w:t>
      </w:r>
    </w:p>
    <w:p w14:paraId="568DF540" w14:textId="77777777" w:rsidR="00736B52" w:rsidRPr="00D93A6F" w:rsidRDefault="00736B52" w:rsidP="00572AD1">
      <w:pPr>
        <w:rPr>
          <w:sz w:val="22"/>
          <w:szCs w:val="22"/>
        </w:rPr>
      </w:pPr>
    </w:p>
    <w:p w14:paraId="1F068593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bCs/>
          <w:sz w:val="22"/>
          <w:szCs w:val="22"/>
        </w:rPr>
        <w:t xml:space="preserve">A propiltiouracilt </w:t>
      </w:r>
      <w:r w:rsidRPr="00D93A6F">
        <w:rPr>
          <w:sz w:val="22"/>
          <w:szCs w:val="22"/>
        </w:rPr>
        <w:t>6-8 órás időközönként kell bevenni.</w:t>
      </w:r>
    </w:p>
    <w:p w14:paraId="583F0C67" w14:textId="77777777" w:rsidR="00736B52" w:rsidRPr="00D93A6F" w:rsidRDefault="00736B52" w:rsidP="00572AD1">
      <w:pPr>
        <w:rPr>
          <w:sz w:val="22"/>
          <w:szCs w:val="22"/>
        </w:rPr>
      </w:pPr>
    </w:p>
    <w:p w14:paraId="05CBA782" w14:textId="77777777" w:rsidR="00736B52" w:rsidRPr="00D93A6F" w:rsidRDefault="00736B52" w:rsidP="00572AD1">
      <w:pPr>
        <w:ind w:left="-30"/>
        <w:rPr>
          <w:sz w:val="22"/>
          <w:szCs w:val="22"/>
        </w:rPr>
      </w:pPr>
      <w:r w:rsidRPr="00D93A6F">
        <w:rPr>
          <w:bCs/>
          <w:i/>
          <w:iCs/>
          <w:sz w:val="22"/>
          <w:szCs w:val="22"/>
          <w:u w:val="single"/>
        </w:rPr>
        <w:t xml:space="preserve">Felnőttek és 10 éven felüli gyermekek, ill. </w:t>
      </w:r>
      <w:r w:rsidR="00572AD1" w:rsidRPr="00D93A6F">
        <w:rPr>
          <w:bCs/>
          <w:i/>
          <w:iCs/>
          <w:sz w:val="22"/>
          <w:szCs w:val="22"/>
          <w:u w:val="single"/>
        </w:rPr>
        <w:t>serdülők</w:t>
      </w:r>
      <w:r w:rsidR="00572AD1" w:rsidRPr="00D93A6F">
        <w:rPr>
          <w:bCs/>
          <w:i/>
          <w:iCs/>
          <w:sz w:val="22"/>
          <w:szCs w:val="22"/>
        </w:rPr>
        <w:t xml:space="preserve"> </w:t>
      </w:r>
      <w:r w:rsidRPr="00D93A6F">
        <w:rPr>
          <w:bCs/>
          <w:sz w:val="22"/>
          <w:szCs w:val="22"/>
        </w:rPr>
        <w:t>kezdő adagja 75-100 mg (</w:t>
      </w:r>
      <w:r w:rsidRPr="00D93A6F">
        <w:rPr>
          <w:sz w:val="22"/>
          <w:szCs w:val="22"/>
        </w:rPr>
        <w:t xml:space="preserve">1½ </w:t>
      </w:r>
      <w:r w:rsidR="00854228" w:rsidRPr="00D93A6F">
        <w:rPr>
          <w:sz w:val="22"/>
          <w:szCs w:val="22"/>
        </w:rPr>
        <w:t>–</w:t>
      </w:r>
      <w:r w:rsidRPr="00D93A6F">
        <w:rPr>
          <w:bCs/>
          <w:sz w:val="22"/>
          <w:szCs w:val="22"/>
        </w:rPr>
        <w:t xml:space="preserve"> 2 tabletta) propiltiouracil (PTU) naponta 3-szor. </w:t>
      </w:r>
      <w:r w:rsidRPr="00D93A6F">
        <w:rPr>
          <w:sz w:val="22"/>
          <w:szCs w:val="22"/>
        </w:rPr>
        <w:t xml:space="preserve">Súlyosabb esetekben, valamint jódkontamináció esetén a kezelés kezdetén 300-600 mg (napi 6-12 tabletta) PTU-t ajánlatos adni 4-6 adagra elosztva. </w:t>
      </w:r>
    </w:p>
    <w:p w14:paraId="70E5E2C4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3E39706A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A fenntartó adag napi 25-150 mg PTU (½ – 3 tabletta).</w:t>
      </w:r>
    </w:p>
    <w:p w14:paraId="3C9A6C0C" w14:textId="77777777" w:rsidR="00736B52" w:rsidRPr="00D93A6F" w:rsidRDefault="00736B52" w:rsidP="00572AD1">
      <w:pPr>
        <w:rPr>
          <w:sz w:val="22"/>
          <w:szCs w:val="22"/>
        </w:rPr>
      </w:pPr>
    </w:p>
    <w:p w14:paraId="0B2FE486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i/>
          <w:iCs/>
          <w:sz w:val="22"/>
          <w:szCs w:val="22"/>
          <w:u w:val="single"/>
        </w:rPr>
        <w:t>6 és 10 év közötti gyermekek</w:t>
      </w:r>
      <w:r w:rsidRPr="00D93A6F">
        <w:rPr>
          <w:i/>
          <w:iCs/>
          <w:sz w:val="22"/>
          <w:szCs w:val="22"/>
        </w:rPr>
        <w:t xml:space="preserve"> </w:t>
      </w:r>
      <w:r w:rsidRPr="00D93A6F">
        <w:rPr>
          <w:sz w:val="22"/>
          <w:szCs w:val="22"/>
        </w:rPr>
        <w:t>kezdő napi adagja 50-150 mg PTU (1</w:t>
      </w:r>
      <w:r w:rsidR="00854228" w:rsidRPr="00D93A6F">
        <w:rPr>
          <w:sz w:val="22"/>
          <w:szCs w:val="22"/>
        </w:rPr>
        <w:t>–</w:t>
      </w:r>
      <w:r w:rsidRPr="00D93A6F">
        <w:rPr>
          <w:sz w:val="22"/>
          <w:szCs w:val="22"/>
        </w:rPr>
        <w:t>3 tabletta), a fenntartó adag kb. 25-50 mg PTU (½ – 1 tabletta).</w:t>
      </w:r>
    </w:p>
    <w:p w14:paraId="475EAC31" w14:textId="77777777" w:rsidR="00736B52" w:rsidRPr="00D93A6F" w:rsidRDefault="00736B52" w:rsidP="00572AD1">
      <w:pPr>
        <w:rPr>
          <w:sz w:val="22"/>
          <w:szCs w:val="22"/>
        </w:rPr>
      </w:pPr>
    </w:p>
    <w:p w14:paraId="1600A088" w14:textId="77777777" w:rsidR="00736B52" w:rsidRPr="00D93A6F" w:rsidRDefault="00736B52" w:rsidP="00572AD1">
      <w:pPr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Vesekárosodás:</w:t>
      </w:r>
    </w:p>
    <w:p w14:paraId="311B34E2" w14:textId="77777777" w:rsidR="00736B52" w:rsidRPr="00D93A6F" w:rsidRDefault="00736B52" w:rsidP="00572AD1">
      <w:pPr>
        <w:pStyle w:val="WW-Szvegtrzsbehzssal2"/>
        <w:ind w:left="0"/>
        <w:rPr>
          <w:bCs w:val="0"/>
          <w:sz w:val="22"/>
          <w:szCs w:val="22"/>
        </w:rPr>
      </w:pPr>
      <w:r w:rsidRPr="00D93A6F">
        <w:rPr>
          <w:bCs w:val="0"/>
          <w:sz w:val="22"/>
          <w:szCs w:val="22"/>
        </w:rPr>
        <w:t>A jelenlegi ismeretek szerint beszűkült vesefunkció esetén, ill. dializált betegek esetében nem szükséges adagmódosítás.</w:t>
      </w:r>
    </w:p>
    <w:p w14:paraId="7BC893C5" w14:textId="77777777" w:rsidR="00736B52" w:rsidRPr="00D93A6F" w:rsidRDefault="00736B52" w:rsidP="00572AD1">
      <w:pPr>
        <w:rPr>
          <w:sz w:val="22"/>
          <w:szCs w:val="22"/>
        </w:rPr>
      </w:pPr>
    </w:p>
    <w:p w14:paraId="58D9EC51" w14:textId="77777777" w:rsidR="00736B52" w:rsidRPr="00D93A6F" w:rsidRDefault="00736B52" w:rsidP="00572AD1">
      <w:pPr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Má</w:t>
      </w:r>
      <w:r w:rsidR="009338F3">
        <w:rPr>
          <w:i/>
          <w:iCs/>
          <w:sz w:val="22"/>
          <w:szCs w:val="22"/>
        </w:rPr>
        <w:t>jkárosodás</w:t>
      </w:r>
      <w:r w:rsidRPr="00D93A6F">
        <w:rPr>
          <w:i/>
          <w:iCs/>
          <w:sz w:val="22"/>
          <w:szCs w:val="22"/>
        </w:rPr>
        <w:t>:</w:t>
      </w:r>
    </w:p>
    <w:p w14:paraId="3B4BD417" w14:textId="77777777" w:rsidR="00736B52" w:rsidRPr="00D93A6F" w:rsidRDefault="009338F3" w:rsidP="00572AD1">
      <w:pPr>
        <w:rPr>
          <w:sz w:val="22"/>
          <w:szCs w:val="22"/>
        </w:rPr>
      </w:pPr>
      <w:r>
        <w:rPr>
          <w:sz w:val="22"/>
          <w:szCs w:val="22"/>
        </w:rPr>
        <w:t xml:space="preserve">Májkárosodás </w:t>
      </w:r>
      <w:r w:rsidR="00736B52" w:rsidRPr="00D93A6F">
        <w:rPr>
          <w:sz w:val="22"/>
          <w:szCs w:val="22"/>
        </w:rPr>
        <w:t>esetén a szokásos adagolást kell alkalmazni, figyelembe véve a relatív ellenjavallatokat.</w:t>
      </w:r>
    </w:p>
    <w:p w14:paraId="67144913" w14:textId="77777777" w:rsidR="00736B52" w:rsidRPr="00D93A6F" w:rsidRDefault="00736B52" w:rsidP="00572AD1">
      <w:pPr>
        <w:rPr>
          <w:sz w:val="22"/>
          <w:szCs w:val="22"/>
        </w:rPr>
      </w:pPr>
    </w:p>
    <w:p w14:paraId="10444C20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tablettákat egészben, szétrágás nélkül, elegendő mennyiségű folyadékkal kell bevenni.</w:t>
      </w:r>
    </w:p>
    <w:p w14:paraId="27292285" w14:textId="77777777" w:rsidR="00736B52" w:rsidRPr="00D93A6F" w:rsidRDefault="00736B52" w:rsidP="00572AD1">
      <w:pPr>
        <w:rPr>
          <w:sz w:val="22"/>
          <w:szCs w:val="22"/>
        </w:rPr>
      </w:pPr>
    </w:p>
    <w:p w14:paraId="701E1950" w14:textId="77777777" w:rsidR="00736B52" w:rsidRPr="00D93A6F" w:rsidRDefault="00736B52" w:rsidP="00572AD1">
      <w:pPr>
        <w:ind w:hanging="15"/>
        <w:rPr>
          <w:sz w:val="22"/>
          <w:szCs w:val="22"/>
        </w:rPr>
      </w:pPr>
      <w:r w:rsidRPr="00D93A6F">
        <w:rPr>
          <w:sz w:val="22"/>
          <w:szCs w:val="22"/>
        </w:rPr>
        <w:t>A kezelés időtartamát az egyéni szükségletnek megfelelően kell megállapítani.</w:t>
      </w:r>
    </w:p>
    <w:p w14:paraId="4DBDF977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A </w:t>
      </w:r>
      <w:r w:rsidRPr="00D93A6F">
        <w:rPr>
          <w:bCs/>
          <w:sz w:val="22"/>
          <w:szCs w:val="22"/>
        </w:rPr>
        <w:t>Propycil</w:t>
      </w:r>
      <w:r w:rsidRPr="00D93A6F">
        <w:rPr>
          <w:bCs/>
          <w:sz w:val="22"/>
          <w:szCs w:val="22"/>
        </w:rPr>
        <w:noBreakHyphen/>
        <w:t>lel</w:t>
      </w:r>
      <w:r w:rsidRPr="00D93A6F">
        <w:rPr>
          <w:sz w:val="22"/>
          <w:szCs w:val="22"/>
        </w:rPr>
        <w:t xml:space="preserve"> szerzett tapasztalatok azt mutatják, hogy Basedow-kór, valamint toxikus autonóm adenóma esetén fennálló hyperthyreosis kezelésének időtartama legalább egy év. </w:t>
      </w:r>
    </w:p>
    <w:p w14:paraId="0C18172F" w14:textId="77777777" w:rsidR="00736B52" w:rsidRPr="00D93A6F" w:rsidRDefault="00736B52" w:rsidP="00572AD1">
      <w:pPr>
        <w:pStyle w:val="Szvegtrzs"/>
        <w:spacing w:after="0"/>
        <w:ind w:left="17"/>
        <w:rPr>
          <w:sz w:val="22"/>
          <w:szCs w:val="22"/>
        </w:rPr>
      </w:pPr>
      <w:r w:rsidRPr="00D93A6F">
        <w:rPr>
          <w:sz w:val="22"/>
          <w:szCs w:val="22"/>
        </w:rPr>
        <w:t xml:space="preserve">Sebészeti beavatkozás, valamint radiojód-terápia előkészítése esetén a kezelés időtartamát az egyéni szükségletekhez kell igazítani. </w:t>
      </w:r>
    </w:p>
    <w:p w14:paraId="133E2E75" w14:textId="77777777" w:rsidR="00736B52" w:rsidRPr="00D93A6F" w:rsidRDefault="00736B52" w:rsidP="00572AD1">
      <w:pPr>
        <w:pStyle w:val="Szvegtrzsbehzssal"/>
        <w:ind w:left="15" w:right="0"/>
        <w:jc w:val="left"/>
        <w:rPr>
          <w:sz w:val="22"/>
          <w:szCs w:val="22"/>
        </w:rPr>
      </w:pPr>
    </w:p>
    <w:p w14:paraId="538903D0" w14:textId="77777777" w:rsidR="00736B52" w:rsidRPr="00D93A6F" w:rsidRDefault="00736B52" w:rsidP="00572AD1">
      <w:pPr>
        <w:keepNext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lastRenderedPageBreak/>
        <w:t>4.3</w:t>
      </w:r>
      <w:r w:rsidRPr="00D93A6F">
        <w:rPr>
          <w:b/>
          <w:sz w:val="22"/>
          <w:szCs w:val="22"/>
        </w:rPr>
        <w:tab/>
        <w:t>Ellenjavallatok</w:t>
      </w:r>
    </w:p>
    <w:p w14:paraId="4A641D13" w14:textId="77777777" w:rsidR="00736B52" w:rsidRPr="00D93A6F" w:rsidRDefault="00736B52" w:rsidP="00572AD1">
      <w:pPr>
        <w:keepNext/>
        <w:rPr>
          <w:bCs/>
          <w:sz w:val="22"/>
          <w:szCs w:val="22"/>
        </w:rPr>
      </w:pPr>
    </w:p>
    <w:p w14:paraId="7DBC4BEC" w14:textId="77777777" w:rsidR="00736B52" w:rsidRPr="00D93A6F" w:rsidRDefault="00736B52" w:rsidP="00572AD1">
      <w:pPr>
        <w:keepNext/>
        <w:numPr>
          <w:ilvl w:val="0"/>
          <w:numId w:val="2"/>
        </w:numPr>
        <w:ind w:left="567" w:hanging="567"/>
        <w:rPr>
          <w:bCs/>
          <w:sz w:val="22"/>
          <w:szCs w:val="22"/>
        </w:rPr>
      </w:pPr>
      <w:r w:rsidRPr="00D93A6F">
        <w:rPr>
          <w:bCs/>
          <w:sz w:val="22"/>
          <w:szCs w:val="22"/>
        </w:rPr>
        <w:t xml:space="preserve">A készítmény </w:t>
      </w:r>
      <w:r w:rsidR="009803FF" w:rsidRPr="00D93A6F">
        <w:rPr>
          <w:bCs/>
          <w:sz w:val="22"/>
          <w:szCs w:val="22"/>
        </w:rPr>
        <w:t xml:space="preserve">hatóanyagával vagy a 6.1 pontban felsorolt </w:t>
      </w:r>
      <w:r w:rsidRPr="00D93A6F">
        <w:rPr>
          <w:bCs/>
          <w:sz w:val="22"/>
          <w:szCs w:val="22"/>
        </w:rPr>
        <w:t>bármely összetevőjével szembeni túlérzékenység.</w:t>
      </w:r>
    </w:p>
    <w:p w14:paraId="3BB99DC3" w14:textId="77777777" w:rsidR="00736B52" w:rsidRPr="00D93A6F" w:rsidRDefault="00736B52" w:rsidP="00572AD1">
      <w:pPr>
        <w:numPr>
          <w:ilvl w:val="0"/>
          <w:numId w:val="2"/>
        </w:numPr>
        <w:ind w:left="567" w:hanging="567"/>
        <w:rPr>
          <w:sz w:val="22"/>
          <w:szCs w:val="22"/>
        </w:rPr>
      </w:pPr>
      <w:r w:rsidRPr="00D93A6F">
        <w:rPr>
          <w:bCs/>
          <w:sz w:val="22"/>
          <w:szCs w:val="22"/>
        </w:rPr>
        <w:t xml:space="preserve">Nem szabad a gyógyszerkészítményt alkalmazni, ha a beteg anamnézisében a propiltiouracil súlyos mellékhatásaként is ismeretes elváltozások szerepelnek (különösen </w:t>
      </w:r>
      <w:r w:rsidRPr="00D93A6F">
        <w:rPr>
          <w:sz w:val="22"/>
          <w:szCs w:val="22"/>
        </w:rPr>
        <w:t>agranulocytosist, valamint hepatitis okozta súlyos májkárosodást követően).</w:t>
      </w:r>
    </w:p>
    <w:p w14:paraId="5AE61396" w14:textId="77777777" w:rsidR="00736B52" w:rsidRPr="00D93A6F" w:rsidRDefault="00736B52" w:rsidP="00572AD1">
      <w:pPr>
        <w:numPr>
          <w:ilvl w:val="0"/>
          <w:numId w:val="2"/>
        </w:numPr>
        <w:ind w:left="567" w:hanging="567"/>
        <w:rPr>
          <w:sz w:val="22"/>
          <w:szCs w:val="22"/>
        </w:rPr>
      </w:pPr>
      <w:r w:rsidRPr="00D93A6F">
        <w:rPr>
          <w:sz w:val="22"/>
          <w:szCs w:val="22"/>
        </w:rPr>
        <w:t>A készítmény 6 év alatti gyermekek kezelésére nem alkalmas.</w:t>
      </w:r>
    </w:p>
    <w:p w14:paraId="478A41DA" w14:textId="77777777" w:rsidR="00736B52" w:rsidRPr="00D93A6F" w:rsidRDefault="00736B52" w:rsidP="00572AD1">
      <w:pPr>
        <w:ind w:left="-15"/>
        <w:rPr>
          <w:sz w:val="22"/>
          <w:szCs w:val="22"/>
        </w:rPr>
      </w:pPr>
    </w:p>
    <w:p w14:paraId="1E0D124D" w14:textId="77777777" w:rsidR="00736B52" w:rsidRPr="00D93A6F" w:rsidRDefault="00736B52" w:rsidP="00572AD1">
      <w:pPr>
        <w:ind w:left="-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4.4</w:t>
      </w:r>
      <w:r w:rsidRPr="00D93A6F">
        <w:rPr>
          <w:b/>
          <w:sz w:val="22"/>
          <w:szCs w:val="22"/>
        </w:rPr>
        <w:tab/>
        <w:t>Különleges figyelmeztetések és az alkalmazással kapcsolatos óvintézkedések</w:t>
      </w:r>
    </w:p>
    <w:p w14:paraId="7683E019" w14:textId="77777777" w:rsidR="00736B52" w:rsidRPr="00D93A6F" w:rsidRDefault="00736B52" w:rsidP="00572AD1">
      <w:pPr>
        <w:rPr>
          <w:sz w:val="22"/>
          <w:szCs w:val="22"/>
        </w:rPr>
      </w:pPr>
    </w:p>
    <w:p w14:paraId="3C390DE7" w14:textId="77777777" w:rsidR="005551F5" w:rsidRPr="00D93A6F" w:rsidRDefault="005551F5" w:rsidP="00572AD1">
      <w:pPr>
        <w:pStyle w:val="Szvegtrzsbehzssal"/>
        <w:ind w:left="-15"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Néhány esetben súlyos májreakciókat jelentettek propiltiouracillal történt kezelés kapcsán felnőtteknél és gyermekeknél egyaránt, beleértve a halálos és májátültetést szükségessé tevő eseteket is. A májreakció kialakulásáig eltelt idő nem azonos, de az esetek többségében a májreakció az első hat hónapon belül fordul elő. Ha jelentős mértékű májenzim-rendellenesség alakul ki a propiltiouracillal történt kezelés kapcsán, akkor a kezelést azonnal fel kell függeszteni (lásd 4.8 pont).</w:t>
      </w:r>
    </w:p>
    <w:p w14:paraId="73D72344" w14:textId="77777777" w:rsidR="005551F5" w:rsidRPr="00D93A6F" w:rsidRDefault="005551F5" w:rsidP="00572AD1">
      <w:pPr>
        <w:rPr>
          <w:sz w:val="22"/>
          <w:szCs w:val="22"/>
        </w:rPr>
      </w:pPr>
    </w:p>
    <w:p w14:paraId="1F70EB6E" w14:textId="77777777" w:rsidR="008241DF" w:rsidRPr="00D93A6F" w:rsidRDefault="008241DF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A vérkép már meglévő elváltozásaiban, a transzaminázérték, ill. a cholestasist jelző enzimek normálisnál magasabb szintje esetén csak szoros orvosi megfigyelés mellett adható a propiltiouracil.</w:t>
      </w:r>
    </w:p>
    <w:p w14:paraId="4A049B06" w14:textId="77777777" w:rsidR="008241DF" w:rsidRPr="00D93A6F" w:rsidRDefault="008241DF" w:rsidP="00572AD1">
      <w:pPr>
        <w:rPr>
          <w:sz w:val="22"/>
          <w:szCs w:val="22"/>
        </w:rPr>
      </w:pPr>
    </w:p>
    <w:p w14:paraId="2DBC1AA2" w14:textId="77777777" w:rsidR="00736B52" w:rsidRPr="00D93A6F" w:rsidRDefault="002B063C" w:rsidP="00572AD1">
      <w:pPr>
        <w:pStyle w:val="Szvegtrzsbehzssal"/>
        <w:ind w:left="-15"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 xml:space="preserve">Néhány órán belül is kialakulhat </w:t>
      </w:r>
      <w:r w:rsidR="00736B52" w:rsidRPr="00D93A6F">
        <w:rPr>
          <w:sz w:val="22"/>
          <w:szCs w:val="22"/>
        </w:rPr>
        <w:t xml:space="preserve">agranulocytosis. Mivel ennek a kialakulását az esetek többségében nem lehet előre jelezni a vérkép rendszeres ellenőrzése mellett sem, a beteget fel kell világosítani arról, hogy </w:t>
      </w:r>
      <w:r w:rsidRPr="00D93A6F">
        <w:rPr>
          <w:sz w:val="22"/>
          <w:szCs w:val="22"/>
        </w:rPr>
        <w:t xml:space="preserve">melyek </w:t>
      </w:r>
      <w:r w:rsidR="00736B52" w:rsidRPr="00D93A6F">
        <w:rPr>
          <w:sz w:val="22"/>
          <w:szCs w:val="22"/>
        </w:rPr>
        <w:t>az agranulocytosis klinikai tünetei (láz, rossz közérzet, torokgyulladás, szájnyálkahártya-gyulladás)</w:t>
      </w:r>
      <w:r w:rsidRPr="00D93A6F">
        <w:rPr>
          <w:sz w:val="22"/>
          <w:szCs w:val="22"/>
        </w:rPr>
        <w:t>, és arról, hogy ezek</w:t>
      </w:r>
      <w:r w:rsidR="00736B52" w:rsidRPr="00D93A6F">
        <w:rPr>
          <w:sz w:val="22"/>
          <w:szCs w:val="22"/>
        </w:rPr>
        <w:t xml:space="preserve"> jelentkezése esetén azonnali vérképellenőrzés szükséges. </w:t>
      </w:r>
    </w:p>
    <w:p w14:paraId="24569072" w14:textId="77777777" w:rsidR="002B063C" w:rsidRPr="00D93A6F" w:rsidRDefault="002B063C" w:rsidP="00572AD1">
      <w:pPr>
        <w:pStyle w:val="Szvegtrzsbehzssal"/>
        <w:ind w:left="-15" w:right="0"/>
        <w:jc w:val="left"/>
        <w:rPr>
          <w:sz w:val="22"/>
          <w:szCs w:val="22"/>
        </w:rPr>
      </w:pPr>
    </w:p>
    <w:p w14:paraId="27F025DB" w14:textId="77777777" w:rsidR="002B063C" w:rsidRPr="00D93A6F" w:rsidRDefault="002B063C" w:rsidP="00572AD1">
      <w:pPr>
        <w:pStyle w:val="Szvegtrzsbehzssal"/>
        <w:ind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Propycill</w:t>
      </w:r>
      <w:r w:rsidR="00AD3CB1">
        <w:rPr>
          <w:sz w:val="22"/>
          <w:szCs w:val="22"/>
        </w:rPr>
        <w:t>e</w:t>
      </w:r>
      <w:r w:rsidRPr="00D93A6F">
        <w:rPr>
          <w:sz w:val="22"/>
          <w:szCs w:val="22"/>
        </w:rPr>
        <w:t xml:space="preserve">l történő kezelés megkezdése előtt teljes vérképellenőrzést kell végezni. Ezt </w:t>
      </w:r>
      <w:r w:rsidR="00572AD1" w:rsidRPr="00D93A6F">
        <w:rPr>
          <w:sz w:val="22"/>
          <w:szCs w:val="22"/>
        </w:rPr>
        <w:t xml:space="preserve">követően </w:t>
      </w:r>
      <w:r w:rsidRPr="00D93A6F">
        <w:rPr>
          <w:sz w:val="22"/>
          <w:szCs w:val="22"/>
        </w:rPr>
        <w:t xml:space="preserve">a kezelés alatt is szükséges a beteg folyamatos monitorozása. </w:t>
      </w:r>
    </w:p>
    <w:p w14:paraId="42E8FE20" w14:textId="77777777" w:rsidR="002B063C" w:rsidRPr="00D93A6F" w:rsidRDefault="002B063C" w:rsidP="00572AD1">
      <w:pPr>
        <w:pStyle w:val="Szvegtrzsbehzssal"/>
        <w:ind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Ha agranulocytosis gyanúja merül fel, a Propycil-kezelést azonnal abba kell hagyni. Ezen túlmenően – hematológussal való konzultációt követően – szóba jöhet granuloc</w:t>
      </w:r>
      <w:r w:rsidR="00572AD1" w:rsidRPr="00D93A6F">
        <w:rPr>
          <w:sz w:val="22"/>
          <w:szCs w:val="22"/>
        </w:rPr>
        <w:t>y</w:t>
      </w:r>
      <w:r w:rsidRPr="00D93A6F">
        <w:rPr>
          <w:sz w:val="22"/>
          <w:szCs w:val="22"/>
        </w:rPr>
        <w:t>takolónia-stimuláló faktor (G-CSF) alkalmazása is (lásd 4.8 pont).</w:t>
      </w:r>
    </w:p>
    <w:p w14:paraId="7F69FAF8" w14:textId="77777777" w:rsidR="002B063C" w:rsidRPr="00D93A6F" w:rsidRDefault="002B063C" w:rsidP="00572AD1">
      <w:pPr>
        <w:rPr>
          <w:sz w:val="22"/>
          <w:szCs w:val="22"/>
        </w:rPr>
      </w:pPr>
    </w:p>
    <w:p w14:paraId="1FCE0B22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Propycilt gyermekeknél akkor szabad csak alkalmazni, ha a pajzsmirigyműködés helyreállítását célzó egyéb elérhető módszerek nem vezettek eredményre.</w:t>
      </w:r>
    </w:p>
    <w:p w14:paraId="3E8DE7C0" w14:textId="77777777" w:rsidR="002B063C" w:rsidRPr="00D93A6F" w:rsidRDefault="002B063C" w:rsidP="00572AD1">
      <w:pPr>
        <w:rPr>
          <w:sz w:val="22"/>
          <w:szCs w:val="22"/>
        </w:rPr>
      </w:pPr>
    </w:p>
    <w:p w14:paraId="650086C4" w14:textId="77777777" w:rsidR="00572AD1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A Propycil 50 mg tabletta laktózt tartalmaz. </w:t>
      </w:r>
      <w:r w:rsidR="00572AD1" w:rsidRPr="00D93A6F">
        <w:rPr>
          <w:sz w:val="22"/>
          <w:szCs w:val="22"/>
        </w:rPr>
        <w:t>Ritkán előforduló, örökletes galaktózintoleranciában, laktózintoleranciában vagy glükóz-galaktóz malabszorpcióban a készítmény nem szedhető.</w:t>
      </w:r>
    </w:p>
    <w:p w14:paraId="603EFB1F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6B34C002" w14:textId="77777777" w:rsidR="00736B52" w:rsidRPr="00D93A6F" w:rsidRDefault="00736B52" w:rsidP="00572AD1">
      <w:pPr>
        <w:pStyle w:val="Szvegtrzsbehzssal"/>
        <w:ind w:left="-15" w:right="0"/>
        <w:jc w:val="left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4.5</w:t>
      </w:r>
      <w:r w:rsidRPr="00D93A6F">
        <w:rPr>
          <w:b/>
          <w:sz w:val="22"/>
          <w:szCs w:val="22"/>
        </w:rPr>
        <w:tab/>
        <w:t>Gyógyszerkölcsönhatások és egyéb interakciók</w:t>
      </w:r>
    </w:p>
    <w:p w14:paraId="61B6EE35" w14:textId="77777777" w:rsidR="00736B52" w:rsidRPr="00D93A6F" w:rsidRDefault="00736B52" w:rsidP="00572AD1">
      <w:pPr>
        <w:pStyle w:val="Szvegtrzsbehzssal"/>
        <w:ind w:left="-15" w:right="0"/>
        <w:jc w:val="left"/>
        <w:rPr>
          <w:b/>
          <w:sz w:val="22"/>
          <w:szCs w:val="22"/>
        </w:rPr>
      </w:pPr>
    </w:p>
    <w:p w14:paraId="41DD4D3B" w14:textId="77777777" w:rsidR="00736B52" w:rsidRPr="00D93A6F" w:rsidRDefault="00736B52" w:rsidP="00572AD1">
      <w:pPr>
        <w:pStyle w:val="Szvegtrzsbehzssal"/>
        <w:ind w:left="-15"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 xml:space="preserve">Tiroxin egyidejű alkalmazása csökkenti a pajzsmirigy PTU-felvételét, s ezért a saját hormonszintézis nagyobb mérvű szuppressziójára van szükség. Azonos mértékű thyreostatikus hatás eléréséhez így nagyobb adag propiltiouracilt kell alkalmazni. </w:t>
      </w:r>
    </w:p>
    <w:p w14:paraId="61E8B270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Csökkentheti a propiltiouracil thyreostatikus hatását jód egyidejű adása, ill. jódtartalmú gyógyszerek vagy röntgenkontrasztanyagok korábbi adagolása. Ilyen esetben jelentősen kitolódhat az euthyreosis elérésének időpontja.</w:t>
      </w:r>
    </w:p>
    <w:p w14:paraId="37126302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Propiltiouracil-kezelés alatt változhat a propranolol és a kumarinszármazékok hatékony adagja, ezért szükségessé válhat a dózis módosítása. </w:t>
      </w:r>
    </w:p>
    <w:p w14:paraId="576D01EA" w14:textId="77777777" w:rsidR="00736B52" w:rsidRPr="00D93A6F" w:rsidRDefault="00736B52" w:rsidP="00572AD1">
      <w:pPr>
        <w:rPr>
          <w:sz w:val="22"/>
          <w:szCs w:val="22"/>
        </w:rPr>
      </w:pPr>
    </w:p>
    <w:p w14:paraId="0BEF6513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4.6</w:t>
      </w:r>
      <w:r w:rsidRPr="00D93A6F">
        <w:rPr>
          <w:b/>
          <w:sz w:val="22"/>
          <w:szCs w:val="22"/>
        </w:rPr>
        <w:tab/>
      </w:r>
      <w:r w:rsidR="00010FAF" w:rsidRPr="00AA6481">
        <w:rPr>
          <w:b/>
          <w:sz w:val="22"/>
          <w:szCs w:val="22"/>
        </w:rPr>
        <w:t>Termékenység,</w:t>
      </w:r>
      <w:r w:rsidR="00010FAF">
        <w:rPr>
          <w:b/>
          <w:sz w:val="22"/>
          <w:szCs w:val="22"/>
        </w:rPr>
        <w:t xml:space="preserve"> t</w:t>
      </w:r>
      <w:r w:rsidRPr="00D93A6F">
        <w:rPr>
          <w:b/>
          <w:sz w:val="22"/>
          <w:szCs w:val="22"/>
        </w:rPr>
        <w:t>erhesség és szopatás</w:t>
      </w:r>
    </w:p>
    <w:p w14:paraId="7A052F10" w14:textId="77777777" w:rsidR="00736B52" w:rsidRPr="00AA6481" w:rsidRDefault="00736B52" w:rsidP="00572AD1">
      <w:pPr>
        <w:rPr>
          <w:b/>
          <w:sz w:val="22"/>
          <w:szCs w:val="22"/>
        </w:rPr>
      </w:pPr>
    </w:p>
    <w:p w14:paraId="33EB7C9D" w14:textId="77777777" w:rsidR="00010FAF" w:rsidRPr="00AA6481" w:rsidRDefault="00010FAF" w:rsidP="00010FAF">
      <w:pPr>
        <w:pStyle w:val="Default"/>
        <w:spacing w:after="140"/>
        <w:rPr>
          <w:rFonts w:ascii="Times New Roman" w:eastAsia="HG Mincho Light J" w:hAnsi="Times New Roman" w:cs="Times New Roman"/>
          <w:sz w:val="22"/>
          <w:szCs w:val="22"/>
          <w:lang w:val="hu-HU"/>
        </w:rPr>
      </w:pPr>
      <w:r w:rsidRPr="00AA6481">
        <w:rPr>
          <w:rFonts w:ascii="Times New Roman" w:eastAsia="HG Mincho Light J" w:hAnsi="Times New Roman" w:cs="Times New Roman"/>
          <w:sz w:val="22"/>
          <w:szCs w:val="22"/>
          <w:lang w:val="hu-HU"/>
        </w:rPr>
        <w:t xml:space="preserve">Fogamzóképes életkorú nők </w:t>
      </w:r>
    </w:p>
    <w:p w14:paraId="6C1859FD" w14:textId="77777777" w:rsidR="00010FAF" w:rsidRPr="00D93A6F" w:rsidRDefault="00010FAF" w:rsidP="00010FAF">
      <w:pPr>
        <w:rPr>
          <w:sz w:val="22"/>
          <w:szCs w:val="22"/>
        </w:rPr>
      </w:pPr>
      <w:r w:rsidRPr="00AA6481">
        <w:rPr>
          <w:sz w:val="22"/>
          <w:szCs w:val="22"/>
        </w:rPr>
        <w:t>A fogamzóképes életkorú nőket tájékoztatni kell a propiltiouracil terhesség alatti alkalmazásának lehetséges kockázatairól.</w:t>
      </w:r>
    </w:p>
    <w:p w14:paraId="7D413FA2" w14:textId="77777777" w:rsidR="00010FAF" w:rsidRPr="00AA6481" w:rsidRDefault="00010FAF" w:rsidP="00572AD1">
      <w:pPr>
        <w:rPr>
          <w:sz w:val="22"/>
          <w:szCs w:val="22"/>
        </w:rPr>
      </w:pPr>
    </w:p>
    <w:p w14:paraId="4B332C74" w14:textId="77777777" w:rsidR="002B063C" w:rsidRPr="00D93A6F" w:rsidRDefault="002B063C" w:rsidP="00572AD1">
      <w:pPr>
        <w:rPr>
          <w:i/>
          <w:sz w:val="22"/>
          <w:szCs w:val="22"/>
        </w:rPr>
      </w:pPr>
      <w:r w:rsidRPr="00D93A6F">
        <w:rPr>
          <w:i/>
          <w:sz w:val="22"/>
          <w:szCs w:val="22"/>
        </w:rPr>
        <w:t>Terhesség</w:t>
      </w:r>
    </w:p>
    <w:p w14:paraId="053D28B3" w14:textId="77777777" w:rsidR="00010FAF" w:rsidRDefault="00736B52" w:rsidP="00572AD1">
      <w:pPr>
        <w:pStyle w:val="Szvegtrzsbehzssal"/>
        <w:ind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 xml:space="preserve">Terhesség alatt az anyai hyperthyreosis megnövelheti a vetélés, a halvaszületés és a magzati </w:t>
      </w:r>
      <w:r w:rsidRPr="00D93A6F">
        <w:rPr>
          <w:sz w:val="22"/>
          <w:szCs w:val="22"/>
        </w:rPr>
        <w:lastRenderedPageBreak/>
        <w:t>rendellenességek esélyét. A</w:t>
      </w:r>
      <w:r w:rsidR="002B063C" w:rsidRPr="00D93A6F">
        <w:rPr>
          <w:sz w:val="22"/>
          <w:szCs w:val="22"/>
        </w:rPr>
        <w:t>z anya</w:t>
      </w:r>
      <w:r w:rsidRPr="00D93A6F">
        <w:rPr>
          <w:sz w:val="22"/>
          <w:szCs w:val="22"/>
        </w:rPr>
        <w:t xml:space="preserve"> hypothyreosis</w:t>
      </w:r>
      <w:r w:rsidR="002B063C" w:rsidRPr="00D93A6F">
        <w:rPr>
          <w:sz w:val="22"/>
          <w:szCs w:val="22"/>
        </w:rPr>
        <w:t xml:space="preserve">a hasonlóképpen </w:t>
      </w:r>
      <w:r w:rsidRPr="00D93A6F">
        <w:rPr>
          <w:sz w:val="22"/>
          <w:szCs w:val="22"/>
        </w:rPr>
        <w:t xml:space="preserve">növelheti a spontán abortusz valószínűségét. </w:t>
      </w:r>
      <w:r w:rsidR="00246BFB" w:rsidRPr="00D93A6F">
        <w:rPr>
          <w:sz w:val="22"/>
          <w:szCs w:val="22"/>
        </w:rPr>
        <w:t>Számos vizsgálat szerint a</w:t>
      </w:r>
      <w:r w:rsidR="00046112" w:rsidRPr="00D93A6F">
        <w:rPr>
          <w:sz w:val="22"/>
          <w:szCs w:val="22"/>
        </w:rPr>
        <w:t xml:space="preserve"> </w:t>
      </w:r>
      <w:r w:rsidRPr="00D93A6F">
        <w:rPr>
          <w:sz w:val="22"/>
          <w:szCs w:val="22"/>
        </w:rPr>
        <w:t xml:space="preserve">fejlődési rendellenességek </w:t>
      </w:r>
      <w:r w:rsidR="00246BFB" w:rsidRPr="00D93A6F">
        <w:rPr>
          <w:sz w:val="22"/>
          <w:szCs w:val="22"/>
        </w:rPr>
        <w:t>prop</w:t>
      </w:r>
      <w:r w:rsidR="00AD3CB1">
        <w:rPr>
          <w:sz w:val="22"/>
          <w:szCs w:val="22"/>
        </w:rPr>
        <w:t>i</w:t>
      </w:r>
      <w:r w:rsidR="00246BFB" w:rsidRPr="00D93A6F">
        <w:rPr>
          <w:sz w:val="22"/>
          <w:szCs w:val="22"/>
        </w:rPr>
        <w:t>l</w:t>
      </w:r>
      <w:r w:rsidRPr="00D93A6F">
        <w:rPr>
          <w:sz w:val="22"/>
          <w:szCs w:val="22"/>
        </w:rPr>
        <w:t xml:space="preserve">tiouracil-terápia melletti előfordulási gyakorisága nem különbözik a spontán előfordulási aránytól. </w:t>
      </w:r>
    </w:p>
    <w:p w14:paraId="164F043E" w14:textId="77777777" w:rsidR="00010FAF" w:rsidRDefault="00010FAF" w:rsidP="00572AD1">
      <w:pPr>
        <w:pStyle w:val="Szvegtrzsbehzssal"/>
        <w:ind w:right="0"/>
        <w:jc w:val="left"/>
        <w:rPr>
          <w:sz w:val="22"/>
          <w:szCs w:val="22"/>
        </w:rPr>
      </w:pPr>
    </w:p>
    <w:p w14:paraId="70626E40" w14:textId="77777777" w:rsidR="00010FAF" w:rsidRPr="00AA6481" w:rsidRDefault="00010FAF" w:rsidP="00A9317C">
      <w:pPr>
        <w:pStyle w:val="Szvegtrzsbehzssal"/>
        <w:ind w:right="0"/>
        <w:jc w:val="left"/>
        <w:rPr>
          <w:sz w:val="22"/>
          <w:szCs w:val="22"/>
        </w:rPr>
      </w:pPr>
      <w:r w:rsidRPr="00AA6481">
        <w:rPr>
          <w:sz w:val="22"/>
          <w:szCs w:val="22"/>
        </w:rPr>
        <w:t xml:space="preserve">A terhes nők hyperthyreosisát megfelelően kezelni kell a súlyos anyai és magzati szövődmények megelőzése érdekében. </w:t>
      </w:r>
    </w:p>
    <w:p w14:paraId="0B2C8224" w14:textId="77777777" w:rsidR="00010FAF" w:rsidRDefault="00010FAF" w:rsidP="001136C2">
      <w:pPr>
        <w:pStyle w:val="Szvegtrzsbehzssal"/>
        <w:ind w:right="0"/>
        <w:jc w:val="left"/>
        <w:rPr>
          <w:sz w:val="22"/>
          <w:szCs w:val="22"/>
        </w:rPr>
      </w:pPr>
      <w:r w:rsidRPr="00AA6481">
        <w:rPr>
          <w:sz w:val="22"/>
          <w:szCs w:val="22"/>
        </w:rPr>
        <w:t xml:space="preserve">A propiltiouracil átjut a placentán. </w:t>
      </w:r>
    </w:p>
    <w:p w14:paraId="26CCBDEE" w14:textId="77777777" w:rsidR="001136C2" w:rsidRPr="00AA6481" w:rsidRDefault="001136C2" w:rsidP="00A9317C">
      <w:pPr>
        <w:pStyle w:val="Szvegtrzsbehzssal"/>
        <w:ind w:right="0"/>
        <w:jc w:val="left"/>
        <w:rPr>
          <w:sz w:val="22"/>
          <w:szCs w:val="22"/>
        </w:rPr>
      </w:pPr>
    </w:p>
    <w:p w14:paraId="45896057" w14:textId="21EDA87D" w:rsidR="00010FAF" w:rsidRPr="00AA6481" w:rsidRDefault="00010FAF" w:rsidP="00010FAF">
      <w:pPr>
        <w:pStyle w:val="Default"/>
        <w:spacing w:after="140"/>
        <w:rPr>
          <w:rFonts w:ascii="Times New Roman" w:eastAsia="HG Mincho Light J" w:hAnsi="Times New Roman" w:cs="Times New Roman"/>
          <w:sz w:val="22"/>
          <w:szCs w:val="22"/>
          <w:lang w:val="hu-HU"/>
        </w:rPr>
      </w:pPr>
      <w:r w:rsidRPr="00AA6481">
        <w:rPr>
          <w:rFonts w:ascii="Times New Roman" w:eastAsia="HG Mincho Light J" w:hAnsi="Times New Roman" w:cs="Times New Roman"/>
          <w:sz w:val="22"/>
          <w:szCs w:val="22"/>
          <w:lang w:val="hu-HU"/>
        </w:rPr>
        <w:t xml:space="preserve">Az állatkísérletes eredmények nem elégségesek a reproduktív toxicitás megítéléséhez. Az epidemiológiai vizsgálatok eredményei ellentmondók a veleszületett rendellenességek kockázatával kapcsolatosan. </w:t>
      </w:r>
    </w:p>
    <w:p w14:paraId="4241CB76" w14:textId="77777777" w:rsidR="00010FAF" w:rsidRDefault="00010FAF" w:rsidP="00010FAF">
      <w:pPr>
        <w:pStyle w:val="Szvegtrzsbehzssal"/>
        <w:ind w:right="0"/>
        <w:jc w:val="left"/>
        <w:rPr>
          <w:sz w:val="22"/>
          <w:szCs w:val="22"/>
        </w:rPr>
      </w:pPr>
      <w:r w:rsidRPr="00AA6481">
        <w:rPr>
          <w:sz w:val="22"/>
          <w:szCs w:val="22"/>
        </w:rPr>
        <w:t>A terhesség alatt a propiltiouracil-kezelést megelőzően az előnyök és a kockázatok egyedi értékelésére van szükség. Terhesség alatt a propiltiouracilt a lehető legkisebb hatékony dózisban kell alkalmazni, pajzsmirigy-hormonok kiegészítő adása nélkül. A propiltiouracil terhesség alatti alkalmazása esetén az anya, a magzat és az újszülött szoros monitorozása javasolt.</w:t>
      </w:r>
    </w:p>
    <w:p w14:paraId="7127503F" w14:textId="77777777" w:rsidR="00743B08" w:rsidRPr="001136C2" w:rsidRDefault="00743B08" w:rsidP="00572AD1">
      <w:pPr>
        <w:ind w:left="-15"/>
        <w:rPr>
          <w:sz w:val="22"/>
          <w:szCs w:val="22"/>
        </w:rPr>
      </w:pPr>
    </w:p>
    <w:p w14:paraId="0C3E6DB0" w14:textId="77777777" w:rsidR="00743B08" w:rsidRPr="00D93A6F" w:rsidRDefault="00743B08" w:rsidP="00743B08">
      <w:pPr>
        <w:pStyle w:val="Szvegtrzsbehzssal"/>
        <w:ind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Egyes</w:t>
      </w:r>
      <w:r w:rsidR="0029729F">
        <w:rPr>
          <w:sz w:val="22"/>
          <w:szCs w:val="22"/>
        </w:rPr>
        <w:t xml:space="preserve"> esetjelentések alapján </w:t>
      </w:r>
      <w:r w:rsidRPr="00D93A6F">
        <w:rPr>
          <w:sz w:val="22"/>
          <w:szCs w:val="22"/>
        </w:rPr>
        <w:t>a születési rendellenesség propiltiouracil-terápiával összefüggő kockázatát nem lehet kizárni.</w:t>
      </w:r>
    </w:p>
    <w:p w14:paraId="5202A286" w14:textId="77777777" w:rsidR="00743B08" w:rsidRPr="00D93A6F" w:rsidRDefault="00743B08" w:rsidP="00743B08">
      <w:pPr>
        <w:rPr>
          <w:sz w:val="22"/>
          <w:szCs w:val="22"/>
        </w:rPr>
      </w:pPr>
      <w:r w:rsidRPr="00D93A6F">
        <w:rPr>
          <w:sz w:val="22"/>
          <w:szCs w:val="22"/>
        </w:rPr>
        <w:t>A magzati hormontermelés a terhesség 10-14. hetében indul meg. A vetélés elkerülése érdekében, ill. hogy ne alakuljon ki magzati hypothyreosis vagy strúma, a thyreostati</w:t>
      </w:r>
      <w:r>
        <w:rPr>
          <w:sz w:val="22"/>
          <w:szCs w:val="22"/>
        </w:rPr>
        <w:t>c</w:t>
      </w:r>
      <w:r w:rsidRPr="00D93A6F">
        <w:rPr>
          <w:sz w:val="22"/>
          <w:szCs w:val="22"/>
        </w:rPr>
        <w:t>um adagját a lehető legalacsonyabb szinten kell megállapítani. A harmadik trimeszter idején a hyperthyreoid állapot gyakran spontán javul. Az enyhe hyperthyreosist a terhes nők jobban tolerálják, mint a hypothyreosist.</w:t>
      </w:r>
    </w:p>
    <w:p w14:paraId="4A21C140" w14:textId="77777777" w:rsidR="00743B08" w:rsidRPr="00D93A6F" w:rsidRDefault="00743B08" w:rsidP="00743B08">
      <w:pPr>
        <w:rPr>
          <w:sz w:val="22"/>
          <w:szCs w:val="22"/>
        </w:rPr>
      </w:pPr>
    </w:p>
    <w:p w14:paraId="0BFF9489" w14:textId="77777777" w:rsidR="00743B08" w:rsidRPr="00D93A6F" w:rsidRDefault="0029729F" w:rsidP="00743B08">
      <w:pPr>
        <w:ind w:left="-15"/>
        <w:rPr>
          <w:sz w:val="22"/>
          <w:szCs w:val="22"/>
        </w:rPr>
      </w:pPr>
      <w:r>
        <w:rPr>
          <w:sz w:val="22"/>
          <w:szCs w:val="22"/>
        </w:rPr>
        <w:t>Thyreostatic</w:t>
      </w:r>
      <w:r w:rsidR="00743B08" w:rsidRPr="00D93A6F">
        <w:rPr>
          <w:sz w:val="22"/>
          <w:szCs w:val="22"/>
        </w:rPr>
        <w:t>us kezelés esetén gondos ellenőrzésre van szükség a terhesség alatt. A pajzsmirigyhormonok szabad frakciójának (free T</w:t>
      </w:r>
      <w:r w:rsidR="00743B08" w:rsidRPr="00D93A6F">
        <w:rPr>
          <w:sz w:val="22"/>
          <w:szCs w:val="22"/>
          <w:vertAlign w:val="subscript"/>
        </w:rPr>
        <w:t>4</w:t>
      </w:r>
      <w:r w:rsidR="00743B08" w:rsidRPr="00D93A6F">
        <w:rPr>
          <w:sz w:val="22"/>
          <w:szCs w:val="22"/>
        </w:rPr>
        <w:t xml:space="preserve"> vagy FT</w:t>
      </w:r>
      <w:r w:rsidR="00743B08" w:rsidRPr="00D93A6F">
        <w:rPr>
          <w:sz w:val="22"/>
          <w:szCs w:val="22"/>
          <w:vertAlign w:val="subscript"/>
        </w:rPr>
        <w:t>4</w:t>
      </w:r>
      <w:r w:rsidR="00743B08" w:rsidRPr="00D93A6F">
        <w:rPr>
          <w:sz w:val="22"/>
          <w:szCs w:val="22"/>
        </w:rPr>
        <w:t>) szintjét a normál sáv felső tartományába kell beállítani, a TSH-érték pedig a normál tartomány alsó részén helyezkedjék el.</w:t>
      </w:r>
    </w:p>
    <w:p w14:paraId="66F20EE7" w14:textId="77777777" w:rsidR="002B063C" w:rsidRPr="00D93A6F" w:rsidRDefault="002B063C" w:rsidP="00572AD1">
      <w:pPr>
        <w:ind w:left="-15"/>
        <w:rPr>
          <w:sz w:val="22"/>
          <w:szCs w:val="22"/>
        </w:rPr>
      </w:pPr>
    </w:p>
    <w:p w14:paraId="6F32AA87" w14:textId="77777777" w:rsidR="002B063C" w:rsidRPr="00D93A6F" w:rsidRDefault="002B063C" w:rsidP="00572AD1">
      <w:pPr>
        <w:ind w:left="-15"/>
        <w:rPr>
          <w:i/>
          <w:sz w:val="22"/>
          <w:szCs w:val="22"/>
        </w:rPr>
      </w:pPr>
      <w:r w:rsidRPr="00D93A6F">
        <w:rPr>
          <w:i/>
          <w:sz w:val="22"/>
          <w:szCs w:val="22"/>
        </w:rPr>
        <w:t>Szoptatás</w:t>
      </w:r>
    </w:p>
    <w:p w14:paraId="05C4EB7E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A propiltiouracil szoptatás alatt is </w:t>
      </w:r>
      <w:r w:rsidR="002B063C" w:rsidRPr="00D93A6F">
        <w:rPr>
          <w:sz w:val="22"/>
          <w:szCs w:val="22"/>
        </w:rPr>
        <w:t>választható gyógyszer</w:t>
      </w:r>
      <w:r w:rsidRPr="00D93A6F">
        <w:rPr>
          <w:sz w:val="22"/>
          <w:szCs w:val="22"/>
        </w:rPr>
        <w:t>, mivel koncentrációja az anyatejben csak 1/10-e az anyai szérumkoncentrációnak. Az újszülött speciális ellenőrzése ennek ellenére szükséges, mivel egyes esetekben előfordult hypothyreosis.</w:t>
      </w:r>
    </w:p>
    <w:p w14:paraId="6E8AEA5B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624D9DFE" w14:textId="77777777" w:rsidR="00736B52" w:rsidRPr="00D93A6F" w:rsidRDefault="00736B52" w:rsidP="008E5B78">
      <w:pPr>
        <w:ind w:left="567" w:hanging="552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4.7</w:t>
      </w:r>
      <w:r w:rsidRPr="00D93A6F">
        <w:rPr>
          <w:b/>
          <w:sz w:val="22"/>
          <w:szCs w:val="22"/>
        </w:rPr>
        <w:tab/>
        <w:t xml:space="preserve">A készítmény hatásai a gépjárművezetéshez és </w:t>
      </w:r>
      <w:r w:rsidR="008E5B78" w:rsidRPr="00D93A6F">
        <w:rPr>
          <w:b/>
          <w:sz w:val="22"/>
          <w:szCs w:val="22"/>
        </w:rPr>
        <w:t xml:space="preserve">a </w:t>
      </w:r>
      <w:r w:rsidRPr="00D93A6F">
        <w:rPr>
          <w:b/>
          <w:sz w:val="22"/>
          <w:szCs w:val="22"/>
        </w:rPr>
        <w:t>gépek kezeléséhez szükséges képességekre</w:t>
      </w:r>
    </w:p>
    <w:p w14:paraId="56B2F9B5" w14:textId="77777777" w:rsidR="00736B52" w:rsidRPr="00D93A6F" w:rsidRDefault="00736B52" w:rsidP="00572AD1">
      <w:pPr>
        <w:ind w:firstLine="15"/>
        <w:rPr>
          <w:b/>
          <w:bCs/>
          <w:sz w:val="22"/>
          <w:szCs w:val="22"/>
        </w:rPr>
      </w:pPr>
    </w:p>
    <w:p w14:paraId="2B2265D4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Nem végeztek vizsgálatokat arra nézve, hogy a Propycilnek van-e hatása a gépjárművezetéshez, ill. gépek kezeléséhez szükséges képességekre. A gyógyszer farmakológiai tulajdonságaiból nem következik, hogy kockázatot jelentene ezekre a tevékenységekre nézve. A beteg klinikai státuszát, valamint a gyógyszer potenciális mellékhatásait azonban figyelembe kell venni gépjárművezetés, ill. gépek kezelése előtt.</w:t>
      </w:r>
    </w:p>
    <w:p w14:paraId="61A93E05" w14:textId="77777777" w:rsidR="00736B52" w:rsidRPr="00D93A6F" w:rsidRDefault="00736B52" w:rsidP="00572AD1">
      <w:pPr>
        <w:rPr>
          <w:sz w:val="22"/>
          <w:szCs w:val="22"/>
        </w:rPr>
      </w:pPr>
    </w:p>
    <w:p w14:paraId="34BD3503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4.8</w:t>
      </w:r>
      <w:r w:rsidRPr="00D93A6F">
        <w:rPr>
          <w:b/>
          <w:sz w:val="22"/>
          <w:szCs w:val="22"/>
        </w:rPr>
        <w:tab/>
        <w:t>Nemkívánatos hatások, mellékhatások</w:t>
      </w:r>
    </w:p>
    <w:p w14:paraId="59A77CD8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096D529F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E gyógyszer tekintetében nem áll rendelkezésre olyan modern klinikai dokumentáció, amely alapul szolgálhatna a mellékhatások előfordulási gyakoriságának pontos megállapításához. A mellékhatások előfordulási gyakorisága függ az indikációtól, az adagolástól, valamint attól, hogy milyen gyógyszerekkel alkalmazzák együtt a készítményt.</w:t>
      </w:r>
    </w:p>
    <w:p w14:paraId="420763AC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lehetséges klinikai relevanciával bíró mellékhatások szervrendszerek szerint, az alábbi gyakorisági kategóriák szerint kerülnek feltüntetésre: nagyon gyakori (≥ 1/10), gyakori (≥1/100 - &lt;1/10), nem gyakori (≥1/1000 - &lt;1/100), ritka (≥1/10000 - &lt;1/1000), nagyon ritka</w:t>
      </w:r>
      <w:r w:rsidR="002C04FD" w:rsidRPr="00D93A6F">
        <w:rPr>
          <w:sz w:val="22"/>
          <w:szCs w:val="22"/>
        </w:rPr>
        <w:t xml:space="preserve"> (&lt;1/10 000)</w:t>
      </w:r>
      <w:r w:rsidRPr="00D93A6F">
        <w:rPr>
          <w:sz w:val="22"/>
          <w:szCs w:val="22"/>
        </w:rPr>
        <w:t>,</w:t>
      </w:r>
      <w:r w:rsidR="002C04FD" w:rsidRPr="00D93A6F">
        <w:rPr>
          <w:sz w:val="22"/>
          <w:szCs w:val="22"/>
        </w:rPr>
        <w:t xml:space="preserve"> </w:t>
      </w:r>
      <w:r w:rsidRPr="00D93A6F">
        <w:rPr>
          <w:sz w:val="22"/>
          <w:szCs w:val="22"/>
        </w:rPr>
        <w:t xml:space="preserve">nem ismert (a </w:t>
      </w:r>
      <w:r w:rsidR="009338F3">
        <w:rPr>
          <w:sz w:val="22"/>
          <w:szCs w:val="22"/>
        </w:rPr>
        <w:t xml:space="preserve">gyakoriság a </w:t>
      </w:r>
      <w:r w:rsidRPr="00D93A6F">
        <w:rPr>
          <w:sz w:val="22"/>
          <w:szCs w:val="22"/>
        </w:rPr>
        <w:t>rendelkezésre álló adatokból nem állapítható meg).</w:t>
      </w:r>
    </w:p>
    <w:p w14:paraId="30878305" w14:textId="77777777" w:rsidR="002B063C" w:rsidRPr="00D93A6F" w:rsidRDefault="002B063C" w:rsidP="00572AD1">
      <w:pPr>
        <w:rPr>
          <w:sz w:val="22"/>
          <w:szCs w:val="22"/>
        </w:rPr>
      </w:pP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7"/>
        <w:gridCol w:w="1276"/>
        <w:gridCol w:w="1417"/>
        <w:gridCol w:w="1079"/>
        <w:gridCol w:w="1365"/>
        <w:gridCol w:w="1560"/>
        <w:gridCol w:w="1560"/>
      </w:tblGrid>
      <w:tr w:rsidR="002B063C" w:rsidRPr="00D93A6F" w14:paraId="27D0EC38" w14:textId="77777777">
        <w:tc>
          <w:tcPr>
            <w:tcW w:w="1667" w:type="dxa"/>
          </w:tcPr>
          <w:p w14:paraId="59BA1FD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Szervrendszer</w:t>
            </w:r>
            <w:r w:rsidR="009338F3">
              <w:rPr>
                <w:sz w:val="22"/>
                <w:szCs w:val="22"/>
              </w:rPr>
              <w:t>i kategória</w:t>
            </w:r>
            <w:r w:rsidRPr="00D93A6F">
              <w:rPr>
                <w:sz w:val="22"/>
                <w:szCs w:val="22"/>
              </w:rPr>
              <w:t xml:space="preserve"> a MedDRA szerint</w:t>
            </w:r>
          </w:p>
        </w:tc>
        <w:tc>
          <w:tcPr>
            <w:tcW w:w="1276" w:type="dxa"/>
          </w:tcPr>
          <w:p w14:paraId="54658BAC" w14:textId="77777777" w:rsidR="00C26EA2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Nagyon gyakori </w:t>
            </w:r>
          </w:p>
          <w:p w14:paraId="56AC2145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(≥ 1/10)</w:t>
            </w:r>
          </w:p>
        </w:tc>
        <w:tc>
          <w:tcPr>
            <w:tcW w:w="1417" w:type="dxa"/>
          </w:tcPr>
          <w:p w14:paraId="24854177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Gyakori (≥1/100 - &lt;1/10)</w:t>
            </w:r>
          </w:p>
        </w:tc>
        <w:tc>
          <w:tcPr>
            <w:tcW w:w="1079" w:type="dxa"/>
          </w:tcPr>
          <w:p w14:paraId="272D2D33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Nem gyakori (≥1/1000 - &lt;1/100)</w:t>
            </w:r>
          </w:p>
        </w:tc>
        <w:tc>
          <w:tcPr>
            <w:tcW w:w="1365" w:type="dxa"/>
          </w:tcPr>
          <w:p w14:paraId="0B2BD57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Ritka </w:t>
            </w:r>
          </w:p>
          <w:p w14:paraId="2BAA260E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(≥1/10</w:t>
            </w:r>
            <w:r w:rsidR="008E5B78" w:rsidRPr="00D93A6F">
              <w:rPr>
                <w:sz w:val="22"/>
                <w:szCs w:val="22"/>
              </w:rPr>
              <w:t> </w:t>
            </w:r>
            <w:r w:rsidRPr="00D93A6F">
              <w:rPr>
                <w:sz w:val="22"/>
                <w:szCs w:val="22"/>
              </w:rPr>
              <w:t>000 - &lt;1/1000)</w:t>
            </w:r>
          </w:p>
        </w:tc>
        <w:tc>
          <w:tcPr>
            <w:tcW w:w="1560" w:type="dxa"/>
          </w:tcPr>
          <w:p w14:paraId="3982B46A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Nagyon ritka (&lt;1/10</w:t>
            </w:r>
            <w:r w:rsidR="002C04FD" w:rsidRPr="00D93A6F">
              <w:rPr>
                <w:sz w:val="22"/>
                <w:szCs w:val="22"/>
              </w:rPr>
              <w:t xml:space="preserve"> </w:t>
            </w:r>
            <w:r w:rsidRPr="00D93A6F">
              <w:rPr>
                <w:sz w:val="22"/>
                <w:szCs w:val="22"/>
              </w:rPr>
              <w:t xml:space="preserve">000) </w:t>
            </w:r>
          </w:p>
        </w:tc>
        <w:tc>
          <w:tcPr>
            <w:tcW w:w="1560" w:type="dxa"/>
          </w:tcPr>
          <w:p w14:paraId="66500B5D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Nem ismert (a </w:t>
            </w:r>
            <w:r w:rsidR="009338F3">
              <w:rPr>
                <w:sz w:val="22"/>
                <w:szCs w:val="22"/>
              </w:rPr>
              <w:t xml:space="preserve">gyakoriság a </w:t>
            </w:r>
            <w:r w:rsidRPr="00D93A6F">
              <w:rPr>
                <w:sz w:val="22"/>
                <w:szCs w:val="22"/>
              </w:rPr>
              <w:t>rendelkezésre álló adatokból nem állapítható meg)</w:t>
            </w:r>
          </w:p>
        </w:tc>
      </w:tr>
      <w:tr w:rsidR="002B063C" w:rsidRPr="00D93A6F" w14:paraId="759E5304" w14:textId="77777777">
        <w:tc>
          <w:tcPr>
            <w:tcW w:w="1667" w:type="dxa"/>
          </w:tcPr>
          <w:p w14:paraId="1502D65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276" w:type="dxa"/>
          </w:tcPr>
          <w:p w14:paraId="28E6AC9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476F70A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Neutropenia klinikai relevancia nélkül</w:t>
            </w:r>
          </w:p>
        </w:tc>
        <w:tc>
          <w:tcPr>
            <w:tcW w:w="1079" w:type="dxa"/>
          </w:tcPr>
          <w:p w14:paraId="52F01598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Agranu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locytosis</w:t>
            </w:r>
            <w:r w:rsidR="002B11CC" w:rsidRPr="00D93A6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365" w:type="dxa"/>
          </w:tcPr>
          <w:p w14:paraId="5F7955B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4CD9293D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Thrombocyto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penia, pan</w:t>
            </w:r>
            <w:r w:rsidR="008E5B78" w:rsidRPr="00D93A6F">
              <w:rPr>
                <w:sz w:val="22"/>
                <w:szCs w:val="22"/>
              </w:rPr>
              <w:t>c</w:t>
            </w:r>
            <w:r w:rsidRPr="00D93A6F">
              <w:rPr>
                <w:sz w:val="22"/>
                <w:szCs w:val="22"/>
              </w:rPr>
              <w:t>ytopenia, az erythropoesis zavarai, haemolysis, pozitív Coomb’s teszt, lymphadeno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pathia.</w:t>
            </w:r>
          </w:p>
        </w:tc>
        <w:tc>
          <w:tcPr>
            <w:tcW w:w="1560" w:type="dxa"/>
          </w:tcPr>
          <w:p w14:paraId="420FDD0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2491FEA4" w14:textId="77777777">
        <w:tc>
          <w:tcPr>
            <w:tcW w:w="1667" w:type="dxa"/>
          </w:tcPr>
          <w:p w14:paraId="55E3B09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1276" w:type="dxa"/>
          </w:tcPr>
          <w:p w14:paraId="1AFB9A75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161340D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Túlérzékeny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ségi reakciók, allergiás bőrkiütések (viszketés, kiütés, csalánkiütés)</w:t>
            </w:r>
          </w:p>
        </w:tc>
        <w:tc>
          <w:tcPr>
            <w:tcW w:w="1079" w:type="dxa"/>
          </w:tcPr>
          <w:p w14:paraId="49169D6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03A07719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Gyógyszer okozta láz, májkáro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sodás</w:t>
            </w:r>
          </w:p>
        </w:tc>
        <w:tc>
          <w:tcPr>
            <w:tcW w:w="1560" w:type="dxa"/>
          </w:tcPr>
          <w:p w14:paraId="3E0599ED" w14:textId="77777777" w:rsidR="00270A34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Arthralgia</w:t>
            </w:r>
            <w:r w:rsidR="00E23BB7" w:rsidRPr="00D93A6F">
              <w:rPr>
                <w:sz w:val="22"/>
                <w:szCs w:val="22"/>
              </w:rPr>
              <w:t xml:space="preserve"> </w:t>
            </w:r>
          </w:p>
          <w:p w14:paraId="77EEFA80" w14:textId="77777777" w:rsidR="002B063C" w:rsidRPr="00D93A6F" w:rsidRDefault="00E23BB7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(ld. még: A csont- és izomrendszer, valamint a kötőszövet betegségei és tünetei)</w:t>
            </w:r>
          </w:p>
          <w:p w14:paraId="260D05CD" w14:textId="77777777" w:rsidR="00576263" w:rsidRPr="00D93A6F" w:rsidRDefault="00576263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MPO- vagy p-ANCA számának növekedése vasculitisszel, reumatikus zavarokkal (myalgia, arthralgia) vagy influenzaszerű tünetekkel</w:t>
            </w:r>
            <w:r w:rsidR="002B11CC" w:rsidRPr="00D93A6F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5CA4425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68870FCE" w14:textId="77777777">
        <w:tc>
          <w:tcPr>
            <w:tcW w:w="1667" w:type="dxa"/>
          </w:tcPr>
          <w:p w14:paraId="0FE296CC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276" w:type="dxa"/>
          </w:tcPr>
          <w:p w14:paraId="02BFD2F3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40C68A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3B17A73C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15778E1A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Szédülés, neuromus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cularis zavarok</w:t>
            </w:r>
          </w:p>
        </w:tc>
        <w:tc>
          <w:tcPr>
            <w:tcW w:w="1560" w:type="dxa"/>
          </w:tcPr>
          <w:p w14:paraId="2693451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7ACEBF1F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38CB0660" w14:textId="77777777">
        <w:tc>
          <w:tcPr>
            <w:tcW w:w="1667" w:type="dxa"/>
          </w:tcPr>
          <w:p w14:paraId="2076424E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Érbetegségek és tünetek</w:t>
            </w:r>
          </w:p>
        </w:tc>
        <w:tc>
          <w:tcPr>
            <w:tcW w:w="1276" w:type="dxa"/>
          </w:tcPr>
          <w:p w14:paraId="73DA7676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EFF7BB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4A38DB4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0241833F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654C7CD" w14:textId="77777777" w:rsidR="00270A34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Vasculitis</w:t>
            </w:r>
            <w:r w:rsidR="00576263" w:rsidRPr="00D93A6F">
              <w:rPr>
                <w:sz w:val="22"/>
                <w:szCs w:val="22"/>
              </w:rPr>
              <w:t xml:space="preserve"> </w:t>
            </w:r>
          </w:p>
          <w:p w14:paraId="1D81DAFE" w14:textId="77777777" w:rsidR="002B063C" w:rsidRPr="00D93A6F" w:rsidRDefault="00576263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(ld. még: Immunrendszeri betegségek és tünetek)</w:t>
            </w:r>
            <w:r w:rsidR="002B063C" w:rsidRPr="00D93A6F">
              <w:rPr>
                <w:sz w:val="22"/>
                <w:szCs w:val="22"/>
              </w:rPr>
              <w:t>, lupusszerű szindróma, periart</w:t>
            </w:r>
            <w:r w:rsidR="008E5B78" w:rsidRPr="00D93A6F">
              <w:rPr>
                <w:sz w:val="22"/>
                <w:szCs w:val="22"/>
              </w:rPr>
              <w:t>h</w:t>
            </w:r>
            <w:r w:rsidR="002B063C" w:rsidRPr="00D93A6F">
              <w:rPr>
                <w:sz w:val="22"/>
                <w:szCs w:val="22"/>
              </w:rPr>
              <w:t>ritis nodosa, perifériás oedema</w:t>
            </w:r>
          </w:p>
        </w:tc>
        <w:tc>
          <w:tcPr>
            <w:tcW w:w="1560" w:type="dxa"/>
          </w:tcPr>
          <w:p w14:paraId="19BB12C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65A44125" w14:textId="77777777">
        <w:tc>
          <w:tcPr>
            <w:tcW w:w="1667" w:type="dxa"/>
          </w:tcPr>
          <w:p w14:paraId="5FC0544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276" w:type="dxa"/>
          </w:tcPr>
          <w:p w14:paraId="706F46D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7FCC43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Viszkető exanthema, csalánkiütés</w:t>
            </w:r>
          </w:p>
        </w:tc>
        <w:tc>
          <w:tcPr>
            <w:tcW w:w="1079" w:type="dxa"/>
          </w:tcPr>
          <w:p w14:paraId="37019CB3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53E54396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D5EB30D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Hajvesztés, perifériás oedema</w:t>
            </w:r>
            <w:r w:rsidR="00D6388D" w:rsidRPr="00D93A6F">
              <w:rPr>
                <w:sz w:val="22"/>
                <w:szCs w:val="22"/>
              </w:rPr>
              <w:t>,</w:t>
            </w:r>
          </w:p>
          <w:p w14:paraId="5507C03B" w14:textId="77777777" w:rsidR="00E23BB7" w:rsidRPr="00D93A6F" w:rsidRDefault="00D6388D" w:rsidP="008E5B78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a bőr </w:t>
            </w:r>
            <w:r w:rsidR="00E23BB7" w:rsidRPr="00D93A6F">
              <w:rPr>
                <w:sz w:val="22"/>
                <w:szCs w:val="22"/>
              </w:rPr>
              <w:t>vasculitise: pl. exanthema, purpura és leukoc</w:t>
            </w:r>
            <w:r w:rsidR="008E5B78" w:rsidRPr="00D93A6F">
              <w:rPr>
                <w:sz w:val="22"/>
                <w:szCs w:val="22"/>
              </w:rPr>
              <w:t>y</w:t>
            </w:r>
            <w:r w:rsidR="00E23BB7" w:rsidRPr="00D93A6F">
              <w:rPr>
                <w:sz w:val="22"/>
                <w:szCs w:val="22"/>
              </w:rPr>
              <w:t>to</w:t>
            </w:r>
            <w:r w:rsidR="008E5B78" w:rsidRPr="00D93A6F">
              <w:rPr>
                <w:sz w:val="22"/>
                <w:szCs w:val="22"/>
              </w:rPr>
              <w:t>-</w:t>
            </w:r>
            <w:r w:rsidR="003C3B36">
              <w:rPr>
                <w:sz w:val="22"/>
                <w:szCs w:val="22"/>
              </w:rPr>
              <w:t>c</w:t>
            </w:r>
            <w:r w:rsidR="00E23BB7" w:rsidRPr="00D93A6F">
              <w:rPr>
                <w:sz w:val="22"/>
                <w:szCs w:val="22"/>
              </w:rPr>
              <w:t>lasz</w:t>
            </w:r>
            <w:r w:rsidR="008E5B78" w:rsidRPr="00D93A6F">
              <w:rPr>
                <w:sz w:val="22"/>
                <w:szCs w:val="22"/>
              </w:rPr>
              <w:t>tikus</w:t>
            </w:r>
            <w:r w:rsidR="00E23BB7" w:rsidRPr="00D93A6F">
              <w:rPr>
                <w:sz w:val="22"/>
                <w:szCs w:val="22"/>
              </w:rPr>
              <w:t xml:space="preserve"> vasculitis (ld. még: Immunrendszeri betegségek és tünetek</w:t>
            </w:r>
          </w:p>
        </w:tc>
        <w:tc>
          <w:tcPr>
            <w:tcW w:w="1560" w:type="dxa"/>
          </w:tcPr>
          <w:p w14:paraId="25666E5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12FAC10B" w14:textId="77777777">
        <w:tc>
          <w:tcPr>
            <w:tcW w:w="1667" w:type="dxa"/>
          </w:tcPr>
          <w:p w14:paraId="69640919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Légzőrendszeri, mellkasi és mediastinalis betegségek és tünetek </w:t>
            </w:r>
          </w:p>
        </w:tc>
        <w:tc>
          <w:tcPr>
            <w:tcW w:w="1276" w:type="dxa"/>
          </w:tcPr>
          <w:p w14:paraId="3DBDEA0F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9C92375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74620975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7011B20E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71E8BA4B" w14:textId="77777777" w:rsidR="002B063C" w:rsidRPr="00D93A6F" w:rsidRDefault="00D6388D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 tüdő vasculitise mint i</w:t>
            </w:r>
            <w:r w:rsidR="002B063C" w:rsidRPr="00D93A6F">
              <w:rPr>
                <w:sz w:val="22"/>
                <w:szCs w:val="22"/>
              </w:rPr>
              <w:t>nterstitialis pneumoni</w:t>
            </w:r>
            <w:r w:rsidRPr="00D93A6F">
              <w:rPr>
                <w:sz w:val="22"/>
                <w:szCs w:val="22"/>
              </w:rPr>
              <w:t>tis és alveolaris haemorrhagia</w:t>
            </w:r>
            <w:r w:rsidR="002B063C" w:rsidRPr="00D93A6F">
              <w:rPr>
                <w:sz w:val="22"/>
                <w:szCs w:val="22"/>
              </w:rPr>
              <w:t xml:space="preserve"> asthma </w:t>
            </w:r>
          </w:p>
        </w:tc>
        <w:tc>
          <w:tcPr>
            <w:tcW w:w="1560" w:type="dxa"/>
          </w:tcPr>
          <w:p w14:paraId="083FCF27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191E6F82" w14:textId="77777777">
        <w:tc>
          <w:tcPr>
            <w:tcW w:w="1667" w:type="dxa"/>
          </w:tcPr>
          <w:p w14:paraId="38CC8D7A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276" w:type="dxa"/>
          </w:tcPr>
          <w:p w14:paraId="1A5C49EE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18CE34F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Gastrointes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tinalis zavarok, hányinger, hányás</w:t>
            </w:r>
          </w:p>
        </w:tc>
        <w:tc>
          <w:tcPr>
            <w:tcW w:w="1079" w:type="dxa"/>
          </w:tcPr>
          <w:p w14:paraId="74F94236" w14:textId="77777777" w:rsidR="002B063C" w:rsidRPr="00D93A6F" w:rsidRDefault="006B3E76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Í</w:t>
            </w:r>
            <w:r w:rsidR="002B063C" w:rsidRPr="00D93A6F">
              <w:rPr>
                <w:sz w:val="22"/>
                <w:szCs w:val="22"/>
              </w:rPr>
              <w:t>z-</w:t>
            </w:r>
            <w:r w:rsidRPr="00D93A6F">
              <w:rPr>
                <w:sz w:val="22"/>
                <w:szCs w:val="22"/>
              </w:rPr>
              <w:t xml:space="preserve"> </w:t>
            </w:r>
            <w:r w:rsidR="002B063C" w:rsidRPr="00D93A6F">
              <w:rPr>
                <w:sz w:val="22"/>
                <w:szCs w:val="22"/>
              </w:rPr>
              <w:t>és szagérzé</w:t>
            </w:r>
            <w:r w:rsidR="003F7008">
              <w:rPr>
                <w:sz w:val="22"/>
                <w:szCs w:val="22"/>
              </w:rPr>
              <w:t>-</w:t>
            </w:r>
            <w:r w:rsidR="002B063C" w:rsidRPr="00D93A6F">
              <w:rPr>
                <w:sz w:val="22"/>
                <w:szCs w:val="22"/>
              </w:rPr>
              <w:t>kelési zavarok (dysgeu</w:t>
            </w:r>
            <w:r w:rsidR="00C26EA2" w:rsidRPr="00D93A6F">
              <w:rPr>
                <w:sz w:val="22"/>
                <w:szCs w:val="22"/>
              </w:rPr>
              <w:t>-</w:t>
            </w:r>
            <w:r w:rsidR="002B063C" w:rsidRPr="00D93A6F">
              <w:rPr>
                <w:sz w:val="22"/>
                <w:szCs w:val="22"/>
              </w:rPr>
              <w:t>sia, ageusia)</w:t>
            </w:r>
            <w:r w:rsidR="002B11CC" w:rsidRPr="00D93A6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65" w:type="dxa"/>
          </w:tcPr>
          <w:p w14:paraId="196DFCC4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B86BB74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6AD2193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30DEB990" w14:textId="77777777">
        <w:tc>
          <w:tcPr>
            <w:tcW w:w="1667" w:type="dxa"/>
          </w:tcPr>
          <w:p w14:paraId="3FA892F0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Máj- és epebetegségek és tünetek</w:t>
            </w:r>
          </w:p>
        </w:tc>
        <w:tc>
          <w:tcPr>
            <w:tcW w:w="1276" w:type="dxa"/>
          </w:tcPr>
          <w:p w14:paraId="4119CA5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5736A0F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07B872C1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4A171D85" w14:textId="77777777" w:rsidR="002B063C" w:rsidRPr="00D93A6F" w:rsidRDefault="002B063C" w:rsidP="008E5B78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Májkároso</w:t>
            </w:r>
            <w:r w:rsidR="00270A34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dás, hepatitis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szerű reakciók hepato</w:t>
            </w:r>
            <w:r w:rsidR="00C26EA2" w:rsidRPr="00D93A6F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cellul</w:t>
            </w:r>
            <w:r w:rsidR="008E5B78" w:rsidRPr="00D93A6F">
              <w:rPr>
                <w:sz w:val="22"/>
                <w:szCs w:val="22"/>
              </w:rPr>
              <w:t>a</w:t>
            </w:r>
            <w:r w:rsidRPr="00D93A6F">
              <w:rPr>
                <w:sz w:val="22"/>
                <w:szCs w:val="22"/>
              </w:rPr>
              <w:t>ris nekrózissal és átmeneti cholestasis</w:t>
            </w:r>
            <w:r w:rsidR="002B11CC" w:rsidRPr="00D93A6F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560" w:type="dxa"/>
          </w:tcPr>
          <w:p w14:paraId="73D4552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33D2965A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Hepatitis, májelégtelen</w:t>
            </w:r>
            <w:r w:rsidR="00270A34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ség</w:t>
            </w:r>
          </w:p>
        </w:tc>
      </w:tr>
      <w:tr w:rsidR="00855ACA" w:rsidRPr="00D93A6F" w14:paraId="70BDA893" w14:textId="77777777">
        <w:tc>
          <w:tcPr>
            <w:tcW w:w="1667" w:type="dxa"/>
          </w:tcPr>
          <w:p w14:paraId="6B818BFF" w14:textId="77777777" w:rsidR="00855ACA" w:rsidRPr="00D93A6F" w:rsidRDefault="008E1CEE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1276" w:type="dxa"/>
          </w:tcPr>
          <w:p w14:paraId="63E4A8CD" w14:textId="77777777" w:rsidR="00855ACA" w:rsidRPr="00D93A6F" w:rsidRDefault="00855ACA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62CA15B" w14:textId="77777777" w:rsidR="00855ACA" w:rsidRPr="00D93A6F" w:rsidRDefault="00855ACA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0936F495" w14:textId="77777777" w:rsidR="00855ACA" w:rsidRPr="00D93A6F" w:rsidRDefault="00855ACA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1C51A769" w14:textId="77777777" w:rsidR="00855ACA" w:rsidRPr="00D93A6F" w:rsidRDefault="00855ACA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0390323A" w14:textId="77777777" w:rsidR="00270A34" w:rsidRDefault="00855ACA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 xml:space="preserve">Vasculitis </w:t>
            </w:r>
          </w:p>
          <w:p w14:paraId="4DE38EB2" w14:textId="77777777" w:rsidR="00855ACA" w:rsidRPr="00D93A6F" w:rsidRDefault="00855ACA" w:rsidP="00270A34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(ld. még: Immunrendszeri betegségek és tünetek) károsodott vesefunkcióval</w:t>
            </w:r>
            <w:r w:rsidR="0090672C">
              <w:rPr>
                <w:sz w:val="22"/>
                <w:szCs w:val="22"/>
              </w:rPr>
              <w:t xml:space="preserve"> </w:t>
            </w:r>
            <w:r w:rsidRPr="00D93A6F">
              <w:rPr>
                <w:sz w:val="22"/>
                <w:szCs w:val="22"/>
              </w:rPr>
              <w:t>glomerulonephritisszel és egyes esetekben akut veseelégtelen</w:t>
            </w:r>
            <w:r w:rsidR="0090672C">
              <w:rPr>
                <w:sz w:val="22"/>
                <w:szCs w:val="22"/>
              </w:rPr>
              <w:t>-</w:t>
            </w:r>
            <w:r w:rsidRPr="00D93A6F">
              <w:rPr>
                <w:sz w:val="22"/>
                <w:szCs w:val="22"/>
              </w:rPr>
              <w:t>séggel.</w:t>
            </w:r>
          </w:p>
        </w:tc>
        <w:tc>
          <w:tcPr>
            <w:tcW w:w="1560" w:type="dxa"/>
          </w:tcPr>
          <w:p w14:paraId="2DE62246" w14:textId="77777777" w:rsidR="00855ACA" w:rsidRPr="00D93A6F" w:rsidRDefault="00855ACA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4AF7D894" w14:textId="77777777">
        <w:tc>
          <w:tcPr>
            <w:tcW w:w="1667" w:type="dxa"/>
          </w:tcPr>
          <w:p w14:paraId="36F904BE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276" w:type="dxa"/>
          </w:tcPr>
          <w:p w14:paraId="0A37B1E3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5B0022C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1C500803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45500D24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B1504CE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Arthralgia gyulladásra utaló jelek nélkül</w:t>
            </w:r>
          </w:p>
        </w:tc>
        <w:tc>
          <w:tcPr>
            <w:tcW w:w="1560" w:type="dxa"/>
          </w:tcPr>
          <w:p w14:paraId="60662DCC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79E5287B" w14:textId="77777777">
        <w:tc>
          <w:tcPr>
            <w:tcW w:w="1667" w:type="dxa"/>
          </w:tcPr>
          <w:p w14:paraId="213C8E11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Endokrin betegségek és tünetek</w:t>
            </w:r>
          </w:p>
        </w:tc>
        <w:tc>
          <w:tcPr>
            <w:tcW w:w="1276" w:type="dxa"/>
          </w:tcPr>
          <w:p w14:paraId="2B22F606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745017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2D5648C3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6232378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3B893C51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Strúma kialakulása az újszülöttnél</w:t>
            </w:r>
          </w:p>
        </w:tc>
        <w:tc>
          <w:tcPr>
            <w:tcW w:w="1560" w:type="dxa"/>
          </w:tcPr>
          <w:p w14:paraId="1ADBB616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27244155" w14:textId="77777777">
        <w:tc>
          <w:tcPr>
            <w:tcW w:w="1667" w:type="dxa"/>
          </w:tcPr>
          <w:p w14:paraId="674EE341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276" w:type="dxa"/>
          </w:tcPr>
          <w:p w14:paraId="58711618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5697CA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3ADEBACD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0DB1188D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E079709" w14:textId="77777777" w:rsidR="00C26EA2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Hallásvesztés</w:t>
            </w:r>
          </w:p>
        </w:tc>
        <w:tc>
          <w:tcPr>
            <w:tcW w:w="1560" w:type="dxa"/>
          </w:tcPr>
          <w:p w14:paraId="643A2ED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  <w:tr w:rsidR="002B063C" w:rsidRPr="00D93A6F" w14:paraId="393FE41A" w14:textId="77777777">
        <w:tc>
          <w:tcPr>
            <w:tcW w:w="1667" w:type="dxa"/>
          </w:tcPr>
          <w:p w14:paraId="34EB0F14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276" w:type="dxa"/>
          </w:tcPr>
          <w:p w14:paraId="38AE4AC2" w14:textId="77777777" w:rsidR="002B063C" w:rsidRPr="00D93A6F" w:rsidRDefault="002B063C" w:rsidP="00572AD1">
            <w:pPr>
              <w:rPr>
                <w:sz w:val="22"/>
                <w:szCs w:val="22"/>
              </w:rPr>
            </w:pPr>
            <w:r w:rsidRPr="00D93A6F">
              <w:rPr>
                <w:sz w:val="22"/>
                <w:szCs w:val="22"/>
              </w:rPr>
              <w:t>A transzamiázszintek átmeneti emelkedése</w:t>
            </w:r>
          </w:p>
        </w:tc>
        <w:tc>
          <w:tcPr>
            <w:tcW w:w="1417" w:type="dxa"/>
          </w:tcPr>
          <w:p w14:paraId="1176BBD0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</w:tcPr>
          <w:p w14:paraId="130FCB0B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14:paraId="5FED2C7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8D0291A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4C589AF" w14:textId="77777777" w:rsidR="002B063C" w:rsidRPr="00D93A6F" w:rsidRDefault="002B063C" w:rsidP="00572AD1">
            <w:pPr>
              <w:rPr>
                <w:sz w:val="22"/>
                <w:szCs w:val="22"/>
              </w:rPr>
            </w:pPr>
          </w:p>
        </w:tc>
      </w:tr>
    </w:tbl>
    <w:p w14:paraId="631E9801" w14:textId="77777777" w:rsidR="00855ACA" w:rsidRPr="00D93A6F" w:rsidRDefault="00855ACA" w:rsidP="00572AD1">
      <w:pPr>
        <w:rPr>
          <w:sz w:val="22"/>
          <w:szCs w:val="22"/>
          <w:vertAlign w:val="superscript"/>
        </w:rPr>
      </w:pPr>
    </w:p>
    <w:p w14:paraId="27BA410C" w14:textId="77777777" w:rsidR="002B063C" w:rsidRPr="00D93A6F" w:rsidRDefault="002B11CC" w:rsidP="00572AD1">
      <w:pPr>
        <w:rPr>
          <w:sz w:val="22"/>
          <w:szCs w:val="22"/>
        </w:rPr>
      </w:pPr>
      <w:r w:rsidRPr="00D93A6F">
        <w:rPr>
          <w:sz w:val="22"/>
          <w:szCs w:val="22"/>
          <w:vertAlign w:val="superscript"/>
        </w:rPr>
        <w:t>1</w:t>
      </w:r>
      <w:r w:rsidR="001010F2" w:rsidRPr="00D93A6F">
        <w:rPr>
          <w:sz w:val="22"/>
          <w:szCs w:val="22"/>
          <w:vertAlign w:val="superscript"/>
        </w:rPr>
        <w:t xml:space="preserve"> </w:t>
      </w:r>
      <w:r w:rsidR="001A56DB" w:rsidRPr="00D93A6F">
        <w:rPr>
          <w:sz w:val="22"/>
          <w:szCs w:val="22"/>
        </w:rPr>
        <w:t>Az esetek 0,3-0,6%-ában jelentkezik agranulocytosis.</w:t>
      </w:r>
      <w:r w:rsidR="008E5B78" w:rsidRPr="00D93A6F">
        <w:rPr>
          <w:sz w:val="22"/>
          <w:szCs w:val="22"/>
        </w:rPr>
        <w:t xml:space="preserve"> </w:t>
      </w:r>
      <w:r w:rsidR="001A56DB" w:rsidRPr="00D93A6F">
        <w:rPr>
          <w:sz w:val="22"/>
          <w:szCs w:val="22"/>
        </w:rPr>
        <w:t xml:space="preserve">Manifesztálódhat a terápia megkezdése után hetekkel vagy akár hónapokkal is, ilyenkor a Propycil-terápiát </w:t>
      </w:r>
      <w:r w:rsidR="009E59B0" w:rsidRPr="00D93A6F">
        <w:rPr>
          <w:sz w:val="22"/>
          <w:szCs w:val="22"/>
        </w:rPr>
        <w:t>le kell állítani. Az esetek többségében a terápia leállítása után az agranulocytosis spontán módon rendeződik. Haematológussal történő konzultáció után szóba jöhet granuloc</w:t>
      </w:r>
      <w:r w:rsidR="008E5B78" w:rsidRPr="00D93A6F">
        <w:rPr>
          <w:sz w:val="22"/>
          <w:szCs w:val="22"/>
        </w:rPr>
        <w:t>y</w:t>
      </w:r>
      <w:r w:rsidR="00611131">
        <w:rPr>
          <w:sz w:val="22"/>
          <w:szCs w:val="22"/>
        </w:rPr>
        <w:t>ta</w:t>
      </w:r>
      <w:r w:rsidR="009E59B0" w:rsidRPr="00D93A6F">
        <w:rPr>
          <w:sz w:val="22"/>
          <w:szCs w:val="22"/>
        </w:rPr>
        <w:t>stimuláló faktor (G-CSF, filgras</w:t>
      </w:r>
      <w:r w:rsidR="008E5B78" w:rsidRPr="00D93A6F">
        <w:rPr>
          <w:sz w:val="22"/>
          <w:szCs w:val="22"/>
        </w:rPr>
        <w:t>z</w:t>
      </w:r>
      <w:r w:rsidR="009E59B0" w:rsidRPr="00D93A6F">
        <w:rPr>
          <w:sz w:val="22"/>
          <w:szCs w:val="22"/>
        </w:rPr>
        <w:t>tim) adagolása.</w:t>
      </w:r>
    </w:p>
    <w:p w14:paraId="2F5E254E" w14:textId="77777777" w:rsidR="001A56DB" w:rsidRPr="00D93A6F" w:rsidRDefault="001A56DB" w:rsidP="00572AD1">
      <w:pPr>
        <w:rPr>
          <w:sz w:val="22"/>
          <w:szCs w:val="22"/>
        </w:rPr>
      </w:pPr>
    </w:p>
    <w:p w14:paraId="49C9E0CD" w14:textId="77777777" w:rsidR="00E23BB7" w:rsidRPr="00D93A6F" w:rsidRDefault="002B11CC" w:rsidP="00572AD1">
      <w:pPr>
        <w:rPr>
          <w:sz w:val="22"/>
          <w:szCs w:val="22"/>
        </w:rPr>
      </w:pPr>
      <w:r w:rsidRPr="00D93A6F">
        <w:rPr>
          <w:sz w:val="22"/>
          <w:szCs w:val="22"/>
          <w:vertAlign w:val="superscript"/>
        </w:rPr>
        <w:t>2</w:t>
      </w:r>
      <w:r w:rsidR="00576263" w:rsidRPr="00D93A6F">
        <w:rPr>
          <w:sz w:val="22"/>
          <w:szCs w:val="22"/>
        </w:rPr>
        <w:t xml:space="preserve"> </w:t>
      </w:r>
      <w:r w:rsidR="00E23BB7" w:rsidRPr="00D93A6F">
        <w:rPr>
          <w:sz w:val="22"/>
          <w:szCs w:val="22"/>
        </w:rPr>
        <w:t>Basedow-kórban szenvedő betegek prop</w:t>
      </w:r>
      <w:r w:rsidR="00AD3CB1">
        <w:rPr>
          <w:sz w:val="22"/>
          <w:szCs w:val="22"/>
        </w:rPr>
        <w:t>i</w:t>
      </w:r>
      <w:r w:rsidR="00E23BB7" w:rsidRPr="00D93A6F">
        <w:rPr>
          <w:sz w:val="22"/>
          <w:szCs w:val="22"/>
        </w:rPr>
        <w:t>ltiouracillal történő kezelése során megjelenhetnek olyan, a neutrofil granuloc</w:t>
      </w:r>
      <w:r w:rsidR="008E5B78" w:rsidRPr="00D93A6F">
        <w:rPr>
          <w:sz w:val="22"/>
          <w:szCs w:val="22"/>
        </w:rPr>
        <w:t>y</w:t>
      </w:r>
      <w:r w:rsidR="00E23BB7" w:rsidRPr="00D93A6F">
        <w:rPr>
          <w:sz w:val="22"/>
          <w:szCs w:val="22"/>
        </w:rPr>
        <w:t>ták citoplazmájában lévő egyes enzimek elleni antitestek (ANCA), amelyek főként a m</w:t>
      </w:r>
      <w:r w:rsidR="008E5B78" w:rsidRPr="00D93A6F">
        <w:rPr>
          <w:sz w:val="22"/>
          <w:szCs w:val="22"/>
        </w:rPr>
        <w:t>y</w:t>
      </w:r>
      <w:r w:rsidR="00E23BB7" w:rsidRPr="00D93A6F">
        <w:rPr>
          <w:sz w:val="22"/>
          <w:szCs w:val="22"/>
        </w:rPr>
        <w:t>eloperoxidáz (MPO- vagy p-ANCA), ritkábban a proteináz 3 (PR3- vagy p-ANCA) vagy más antigének elleni antitestek. A betegek egy részénél ezek az antitestek vasculitis</w:t>
      </w:r>
      <w:r w:rsidR="00B75227" w:rsidRPr="00D93A6F">
        <w:rPr>
          <w:sz w:val="22"/>
          <w:szCs w:val="22"/>
        </w:rPr>
        <w:t>t válthatnak ki</w:t>
      </w:r>
      <w:r w:rsidR="00E23BB7" w:rsidRPr="00D93A6F">
        <w:rPr>
          <w:sz w:val="22"/>
          <w:szCs w:val="22"/>
        </w:rPr>
        <w:t>, amely az arthralgia, a myalgia és az influenzaszerű tünetek előidézése mellett érintheti a következő szerveket: bőr (pl. exanthema, purpura, leukoc</w:t>
      </w:r>
      <w:r w:rsidR="008E5B78" w:rsidRPr="00D93A6F">
        <w:rPr>
          <w:sz w:val="22"/>
          <w:szCs w:val="22"/>
        </w:rPr>
        <w:t>y</w:t>
      </w:r>
      <w:r w:rsidR="008764CE">
        <w:rPr>
          <w:sz w:val="22"/>
          <w:szCs w:val="22"/>
        </w:rPr>
        <w:t>toc</w:t>
      </w:r>
      <w:r w:rsidR="00E23BB7" w:rsidRPr="00D93A6F">
        <w:rPr>
          <w:sz w:val="22"/>
          <w:szCs w:val="22"/>
        </w:rPr>
        <w:t>laszt</w:t>
      </w:r>
      <w:r w:rsidR="008E5B78" w:rsidRPr="00D93A6F">
        <w:rPr>
          <w:sz w:val="22"/>
          <w:szCs w:val="22"/>
        </w:rPr>
        <w:t>iku</w:t>
      </w:r>
      <w:r w:rsidR="00E23BB7" w:rsidRPr="00D93A6F">
        <w:rPr>
          <w:sz w:val="22"/>
          <w:szCs w:val="22"/>
        </w:rPr>
        <w:t>s vasculitis), ízületek (arthralgia), vese (pl. glomerulonephritis, egyes esetekben akut veseelégtelenség), tüdő (pl. interstitialis pneumonitis, alveolaris haemorrhagia) és egyebek.</w:t>
      </w:r>
    </w:p>
    <w:p w14:paraId="60C1EC8A" w14:textId="77777777" w:rsidR="002814E8" w:rsidRPr="00903562" w:rsidRDefault="00E23BB7" w:rsidP="002814E8">
      <w:pPr>
        <w:rPr>
          <w:color w:val="auto"/>
          <w:sz w:val="22"/>
          <w:szCs w:val="22"/>
        </w:rPr>
      </w:pPr>
      <w:r w:rsidRPr="00D93A6F">
        <w:rPr>
          <w:sz w:val="22"/>
          <w:szCs w:val="22"/>
        </w:rPr>
        <w:t>Ha vasculitis tünetei jelentkeznek, immunológiai tesztet kell végezni és meg kell fontolni a Propycil-terápia leállítását. Ezek a tünetek általában reverzibilisek, ha leállították a terápiát.</w:t>
      </w:r>
      <w:r w:rsidR="002814E8">
        <w:rPr>
          <w:sz w:val="22"/>
          <w:szCs w:val="22"/>
        </w:rPr>
        <w:t xml:space="preserve"> </w:t>
      </w:r>
      <w:r w:rsidR="002814E8" w:rsidRPr="00903562">
        <w:rPr>
          <w:color w:val="auto"/>
          <w:sz w:val="22"/>
          <w:szCs w:val="22"/>
        </w:rPr>
        <w:t>A szakirodalom</w:t>
      </w:r>
    </w:p>
    <w:p w14:paraId="0A9C62B2" w14:textId="77777777" w:rsidR="002814E8" w:rsidRPr="00903562" w:rsidRDefault="002814E8" w:rsidP="00B0242F">
      <w:pPr>
        <w:ind w:left="567" w:hanging="567"/>
        <w:rPr>
          <w:color w:val="auto"/>
          <w:sz w:val="22"/>
          <w:szCs w:val="22"/>
        </w:rPr>
      </w:pPr>
      <w:r w:rsidRPr="00903562">
        <w:rPr>
          <w:color w:val="auto"/>
          <w:sz w:val="22"/>
          <w:szCs w:val="22"/>
        </w:rPr>
        <w:t>ugyan beszámol egy-két halálos kimenetelű esetről is, de ezek kialakulásában</w:t>
      </w:r>
      <w:r w:rsidR="009338F3">
        <w:rPr>
          <w:color w:val="auto"/>
          <w:sz w:val="22"/>
          <w:szCs w:val="22"/>
        </w:rPr>
        <w:t xml:space="preserve"> </w:t>
      </w:r>
      <w:r w:rsidRPr="00903562">
        <w:rPr>
          <w:color w:val="auto"/>
          <w:sz w:val="22"/>
          <w:szCs w:val="22"/>
        </w:rPr>
        <w:t>egyéb szövődmények is közrejátszhattak.</w:t>
      </w:r>
    </w:p>
    <w:p w14:paraId="2C83041B" w14:textId="77777777" w:rsidR="00E23BB7" w:rsidRPr="00D93A6F" w:rsidRDefault="00E23BB7" w:rsidP="00572AD1">
      <w:pPr>
        <w:rPr>
          <w:sz w:val="22"/>
          <w:szCs w:val="22"/>
        </w:rPr>
      </w:pPr>
    </w:p>
    <w:p w14:paraId="3941578D" w14:textId="77777777" w:rsidR="002B11CC" w:rsidRPr="00D93A6F" w:rsidRDefault="002B11CC" w:rsidP="00572AD1">
      <w:pPr>
        <w:rPr>
          <w:sz w:val="22"/>
          <w:szCs w:val="22"/>
        </w:rPr>
      </w:pPr>
      <w:r w:rsidRPr="00D93A6F">
        <w:rPr>
          <w:sz w:val="22"/>
          <w:szCs w:val="22"/>
          <w:vertAlign w:val="superscript"/>
        </w:rPr>
        <w:t>3</w:t>
      </w:r>
      <w:r w:rsidRPr="00D93A6F">
        <w:rPr>
          <w:sz w:val="22"/>
          <w:szCs w:val="22"/>
        </w:rPr>
        <w:t xml:space="preserve"> Az íz- és szagérzékelési zavarok a terápia leállítása után megszűnnek, de még több hétig is fennállhatnak.</w:t>
      </w:r>
    </w:p>
    <w:p w14:paraId="1AC88A9A" w14:textId="77777777" w:rsidR="00576263" w:rsidRPr="00D93A6F" w:rsidRDefault="00576263" w:rsidP="00572AD1">
      <w:pPr>
        <w:rPr>
          <w:sz w:val="22"/>
          <w:szCs w:val="22"/>
        </w:rPr>
      </w:pPr>
    </w:p>
    <w:p w14:paraId="1A79E946" w14:textId="77777777" w:rsidR="00341880" w:rsidRDefault="002B11CC" w:rsidP="00572AD1">
      <w:pPr>
        <w:rPr>
          <w:sz w:val="22"/>
          <w:szCs w:val="22"/>
        </w:rPr>
      </w:pPr>
      <w:r w:rsidRPr="00D93A6F">
        <w:rPr>
          <w:sz w:val="22"/>
          <w:szCs w:val="22"/>
          <w:vertAlign w:val="superscript"/>
        </w:rPr>
        <w:t>4</w:t>
      </w:r>
      <w:r w:rsidRPr="00D93A6F">
        <w:rPr>
          <w:sz w:val="22"/>
          <w:szCs w:val="22"/>
        </w:rPr>
        <w:t xml:space="preserve"> Májkárosodás különösen akkor alakul ki, amikor nagy gyógyszeradagokat alkalmaznak. </w:t>
      </w:r>
      <w:r w:rsidR="001010F2" w:rsidRPr="00D93A6F">
        <w:rPr>
          <w:sz w:val="22"/>
          <w:szCs w:val="22"/>
        </w:rPr>
        <w:t>Leírtak hepatitisszerű reakciókat is hepatocellul</w:t>
      </w:r>
      <w:r w:rsidR="0042502E" w:rsidRPr="00D93A6F">
        <w:rPr>
          <w:sz w:val="22"/>
          <w:szCs w:val="22"/>
        </w:rPr>
        <w:t>a</w:t>
      </w:r>
      <w:r w:rsidR="001010F2" w:rsidRPr="00D93A6F">
        <w:rPr>
          <w:sz w:val="22"/>
          <w:szCs w:val="22"/>
        </w:rPr>
        <w:t>ris nekrózissal és átmeneti cholestasiss</w:t>
      </w:r>
      <w:r w:rsidR="00611131">
        <w:rPr>
          <w:sz w:val="22"/>
          <w:szCs w:val="22"/>
        </w:rPr>
        <w:t>z</w:t>
      </w:r>
      <w:r w:rsidR="001010F2" w:rsidRPr="00D93A6F">
        <w:rPr>
          <w:sz w:val="22"/>
          <w:szCs w:val="22"/>
        </w:rPr>
        <w:t>al. Ezek a tünetek a terápia leállítása után megszűnnek. Figyelembe kell venni, hogy a hyperthyreosis – már a Propycil-terápia megkezdése előtt – önmagában is előidézheti a gamma-glutamil</w:t>
      </w:r>
      <w:r w:rsidR="0042502E" w:rsidRPr="00D93A6F">
        <w:rPr>
          <w:sz w:val="22"/>
          <w:szCs w:val="22"/>
        </w:rPr>
        <w:t>-</w:t>
      </w:r>
      <w:r w:rsidR="001010F2" w:rsidRPr="00D93A6F">
        <w:rPr>
          <w:sz w:val="22"/>
          <w:szCs w:val="22"/>
        </w:rPr>
        <w:t>transzferáz és az alkalikus</w:t>
      </w:r>
      <w:r w:rsidR="00611131">
        <w:rPr>
          <w:sz w:val="22"/>
          <w:szCs w:val="22"/>
        </w:rPr>
        <w:t xml:space="preserve"> </w:t>
      </w:r>
    </w:p>
    <w:p w14:paraId="51F6E62A" w14:textId="77777777" w:rsidR="002B11CC" w:rsidRPr="00D93A6F" w:rsidRDefault="001010F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foszfatáz (csont-izoenzim) emelkedett értékeit.</w:t>
      </w:r>
    </w:p>
    <w:p w14:paraId="07E8BAE5" w14:textId="77777777" w:rsidR="001A56DB" w:rsidRPr="00D93A6F" w:rsidRDefault="001A56DB" w:rsidP="00572AD1">
      <w:pPr>
        <w:rPr>
          <w:sz w:val="22"/>
          <w:szCs w:val="22"/>
        </w:rPr>
      </w:pPr>
    </w:p>
    <w:p w14:paraId="06568A4F" w14:textId="77777777" w:rsidR="002B063C" w:rsidRPr="00D93A6F" w:rsidRDefault="002B063C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Megjegyzések</w:t>
      </w:r>
    </w:p>
    <w:p w14:paraId="4104A522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hyperthyreosissal járó megemelkedett energiafelhasználás csökkenésével növekedhet a testsúly a Propycil-kezelés során. T</w:t>
      </w:r>
      <w:r w:rsidR="006B3E76" w:rsidRPr="00D93A6F">
        <w:rPr>
          <w:sz w:val="22"/>
          <w:szCs w:val="22"/>
        </w:rPr>
        <w:t>á</w:t>
      </w:r>
      <w:r w:rsidRPr="00D93A6F">
        <w:rPr>
          <w:sz w:val="22"/>
          <w:szCs w:val="22"/>
        </w:rPr>
        <w:t>jékoztatni kell a betegeket arról, hogy az energiafelhasználás a betegség javulásával normalizálódik.</w:t>
      </w:r>
    </w:p>
    <w:p w14:paraId="6A3FD82D" w14:textId="77777777" w:rsidR="002B063C" w:rsidRPr="00D93A6F" w:rsidRDefault="002B063C" w:rsidP="00572AD1">
      <w:pPr>
        <w:rPr>
          <w:sz w:val="22"/>
          <w:szCs w:val="22"/>
        </w:rPr>
      </w:pPr>
    </w:p>
    <w:p w14:paraId="2E55137C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Thyreostati</w:t>
      </w:r>
      <w:r w:rsidR="00EC1A66">
        <w:rPr>
          <w:sz w:val="22"/>
          <w:szCs w:val="22"/>
        </w:rPr>
        <w:t>c</w:t>
      </w:r>
      <w:r w:rsidRPr="00D93A6F">
        <w:rPr>
          <w:sz w:val="22"/>
          <w:szCs w:val="22"/>
        </w:rPr>
        <w:t>um</w:t>
      </w:r>
      <w:r w:rsidR="00EC1A66">
        <w:rPr>
          <w:sz w:val="22"/>
          <w:szCs w:val="22"/>
        </w:rPr>
        <w:t>-</w:t>
      </w:r>
      <w:r w:rsidRPr="00D93A6F">
        <w:rPr>
          <w:sz w:val="22"/>
          <w:szCs w:val="22"/>
        </w:rPr>
        <w:t xml:space="preserve">terápia esetén a túladagolás elkerülése érdekében rendszeresen ellenőrizni kell a pajzsmirigy működését. (perifériás pajzsmirigyhormon-paraméterek és TSH-értékek mérésével). </w:t>
      </w:r>
    </w:p>
    <w:p w14:paraId="10D94D6C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thyreostati</w:t>
      </w:r>
      <w:r w:rsidR="00EC1A66">
        <w:rPr>
          <w:sz w:val="22"/>
          <w:szCs w:val="22"/>
        </w:rPr>
        <w:t>c</w:t>
      </w:r>
      <w:r w:rsidRPr="00D93A6F">
        <w:rPr>
          <w:sz w:val="22"/>
          <w:szCs w:val="22"/>
        </w:rPr>
        <w:t>um</w:t>
      </w:r>
      <w:r w:rsidR="00EC1A66">
        <w:rPr>
          <w:sz w:val="22"/>
          <w:szCs w:val="22"/>
        </w:rPr>
        <w:t>-</w:t>
      </w:r>
      <w:r w:rsidRPr="00D93A6F">
        <w:rPr>
          <w:sz w:val="22"/>
          <w:szCs w:val="22"/>
        </w:rPr>
        <w:t xml:space="preserve">terápia strúma kialakulását, ill. a már meglévő strúma megnagyobbodását idézheti elő túl nagy dózisok alkalmazása esetén. Ez különösen fontos, ha intrathoracalis helyzetű strúmáról van szó s fennáll az a veszély, hogy a strúma egyre nagyobb teret foglal el a mediastinumban. </w:t>
      </w:r>
    </w:p>
    <w:p w14:paraId="7B7BE5BF" w14:textId="77777777" w:rsidR="002B063C" w:rsidRPr="00D93A6F" w:rsidRDefault="002B063C" w:rsidP="00572AD1">
      <w:pPr>
        <w:rPr>
          <w:sz w:val="22"/>
          <w:szCs w:val="22"/>
        </w:rPr>
      </w:pPr>
    </w:p>
    <w:p w14:paraId="5B29D575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Nagy dózisokkal történő kezelés esetén fennáll a szubklinikai vagy klinikai hypothyreosis veszélye. Az euthyreosis elérése után csökkenteni kell a Propycil 50 mg adagját vagy </w:t>
      </w:r>
      <w:r w:rsidR="00CD3A80" w:rsidRPr="00D93A6F">
        <w:rPr>
          <w:sz w:val="22"/>
          <w:szCs w:val="22"/>
        </w:rPr>
        <w:t xml:space="preserve">levotiroxint </w:t>
      </w:r>
      <w:r w:rsidRPr="00D93A6F">
        <w:rPr>
          <w:sz w:val="22"/>
          <w:szCs w:val="22"/>
        </w:rPr>
        <w:t>kell adagolni mellé. A t</w:t>
      </w:r>
      <w:r w:rsidR="00CD3A80" w:rsidRPr="00D93A6F">
        <w:rPr>
          <w:sz w:val="22"/>
          <w:szCs w:val="22"/>
        </w:rPr>
        <w:t>i</w:t>
      </w:r>
      <w:r w:rsidRPr="00D93A6F">
        <w:rPr>
          <w:sz w:val="22"/>
          <w:szCs w:val="22"/>
        </w:rPr>
        <w:t>roxinkezelés ideje alatt a Propycil 50 mg alkalmazását nem szabad teljesen leállítani.</w:t>
      </w:r>
    </w:p>
    <w:p w14:paraId="6EEEDA1E" w14:textId="77777777" w:rsidR="002B063C" w:rsidRPr="00D93A6F" w:rsidRDefault="002B063C" w:rsidP="00572AD1">
      <w:pPr>
        <w:rPr>
          <w:sz w:val="22"/>
          <w:szCs w:val="22"/>
        </w:rPr>
      </w:pPr>
    </w:p>
    <w:p w14:paraId="5C32B153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A strúma Propycil-kezelés alatti növekedése csökkent TSH mellett a betegség következménye és nem előzhető meg thyroid hormonok adagolásával. </w:t>
      </w:r>
    </w:p>
    <w:p w14:paraId="1FC9A3E2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Az endokrin orbitopathia előfordulása vagy fokozódása független a pajzsmirigybetegségtől. Ez a tünet nem lehet ok a terápiás koncepció (thyreostati</w:t>
      </w:r>
      <w:r w:rsidR="00EC1A66">
        <w:rPr>
          <w:sz w:val="22"/>
          <w:szCs w:val="22"/>
        </w:rPr>
        <w:t>c</w:t>
      </w:r>
      <w:r w:rsidRPr="00D93A6F">
        <w:rPr>
          <w:sz w:val="22"/>
          <w:szCs w:val="22"/>
        </w:rPr>
        <w:t xml:space="preserve">umok, műtét, radiojód-terápia) megváltoztatására, és nem szabad egy megfelelő terápia mellékhatásának tekinteni. </w:t>
      </w:r>
    </w:p>
    <w:p w14:paraId="15A0C9B4" w14:textId="77777777" w:rsidR="002B063C" w:rsidRPr="00D93A6F" w:rsidRDefault="002B063C" w:rsidP="00572AD1">
      <w:pPr>
        <w:rPr>
          <w:sz w:val="22"/>
          <w:szCs w:val="22"/>
        </w:rPr>
      </w:pPr>
    </w:p>
    <w:p w14:paraId="5466C57F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Ritka esetben előfordulhat ún. „késői” hypothyreosis. Ezt nem szabad a terápia mellékhatásaként értékelni, inkább a pajzsmirigyszövet gyulladásos folyamatának következménye lehet. </w:t>
      </w:r>
    </w:p>
    <w:p w14:paraId="05B38171" w14:textId="77777777" w:rsidR="002B063C" w:rsidRPr="00D93A6F" w:rsidRDefault="002B063C" w:rsidP="00572AD1">
      <w:pPr>
        <w:rPr>
          <w:sz w:val="22"/>
          <w:szCs w:val="22"/>
        </w:rPr>
      </w:pPr>
    </w:p>
    <w:p w14:paraId="52797988" w14:textId="77777777" w:rsidR="002B063C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propiltiouracil</w:t>
      </w:r>
      <w:r w:rsidR="00CD3A80" w:rsidRPr="00D93A6F">
        <w:rPr>
          <w:sz w:val="22"/>
          <w:szCs w:val="22"/>
        </w:rPr>
        <w:t>-</w:t>
      </w:r>
      <w:r w:rsidRPr="00D93A6F">
        <w:rPr>
          <w:sz w:val="22"/>
          <w:szCs w:val="22"/>
        </w:rPr>
        <w:t xml:space="preserve">kezelés alatt javasolt a vérkép, a transzaminázértékek és a cholestasist jelző enzimek rendszeres ellenőrzése. </w:t>
      </w:r>
    </w:p>
    <w:p w14:paraId="19383A10" w14:textId="77777777" w:rsidR="00632407" w:rsidRPr="00D93A6F" w:rsidRDefault="00632407" w:rsidP="00572AD1">
      <w:pPr>
        <w:rPr>
          <w:sz w:val="22"/>
          <w:szCs w:val="22"/>
        </w:rPr>
      </w:pPr>
    </w:p>
    <w:p w14:paraId="1D18419F" w14:textId="77777777" w:rsidR="00632407" w:rsidRPr="00632407" w:rsidRDefault="00632407" w:rsidP="00632407">
      <w:pPr>
        <w:widowControl/>
        <w:tabs>
          <w:tab w:val="left" w:pos="567"/>
        </w:tabs>
        <w:suppressAutoHyphens w:val="0"/>
        <w:rPr>
          <w:rFonts w:eastAsia="Times New Roman"/>
          <w:color w:val="auto"/>
          <w:sz w:val="22"/>
          <w:szCs w:val="22"/>
          <w:u w:val="single"/>
          <w:lang w:eastAsia="en-US"/>
        </w:rPr>
      </w:pPr>
      <w:r w:rsidRPr="00632407">
        <w:rPr>
          <w:rFonts w:eastAsia="Times New Roman"/>
          <w:color w:val="auto"/>
          <w:sz w:val="22"/>
          <w:szCs w:val="22"/>
          <w:u w:val="single"/>
          <w:lang w:eastAsia="en-US"/>
        </w:rPr>
        <w:t>Feltételezett mellékhatások bejelentése</w:t>
      </w:r>
    </w:p>
    <w:p w14:paraId="469A2104" w14:textId="77777777" w:rsidR="00632407" w:rsidRPr="00632407" w:rsidRDefault="00632407" w:rsidP="00632407">
      <w:pPr>
        <w:widowControl/>
        <w:tabs>
          <w:tab w:val="left" w:pos="567"/>
        </w:tabs>
        <w:suppressAutoHyphens w:val="0"/>
        <w:rPr>
          <w:rFonts w:eastAsia="Times New Roman"/>
          <w:color w:val="auto"/>
          <w:sz w:val="22"/>
          <w:szCs w:val="22"/>
          <w:lang w:eastAsia="en-US"/>
        </w:rPr>
      </w:pPr>
      <w:r w:rsidRPr="00632407">
        <w:rPr>
          <w:rFonts w:eastAsia="Times New Roman"/>
          <w:color w:val="auto"/>
          <w:sz w:val="22"/>
          <w:szCs w:val="22"/>
          <w:lang w:eastAsia="en-US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1F16F65" w14:textId="77777777" w:rsidR="00736B52" w:rsidRDefault="00632407" w:rsidP="00632407">
      <w:pPr>
        <w:rPr>
          <w:rFonts w:eastAsia="Times New Roman"/>
          <w:color w:val="auto"/>
          <w:sz w:val="22"/>
          <w:szCs w:val="22"/>
          <w:lang w:eastAsia="en-US"/>
        </w:rPr>
      </w:pPr>
      <w:r w:rsidRPr="00632407">
        <w:rPr>
          <w:rFonts w:eastAsia="Times New Roman"/>
          <w:color w:val="auto"/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hyperlink r:id="rId11" w:history="1">
        <w:r w:rsidRPr="00632407">
          <w:rPr>
            <w:rFonts w:eastAsia="Times New Roman"/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Pr="00632407">
        <w:rPr>
          <w:rFonts w:eastAsia="Times New Roman"/>
          <w:color w:val="auto"/>
          <w:sz w:val="22"/>
          <w:szCs w:val="22"/>
          <w:highlight w:val="lightGray"/>
          <w:lang w:eastAsia="en-US"/>
        </w:rPr>
        <w:t xml:space="preserve"> található elérhetőségek valamelyikén keresztül</w:t>
      </w:r>
      <w:r>
        <w:rPr>
          <w:rFonts w:eastAsia="Times New Roman"/>
          <w:color w:val="auto"/>
          <w:sz w:val="22"/>
          <w:szCs w:val="22"/>
          <w:lang w:eastAsia="en-US"/>
        </w:rPr>
        <w:t>.</w:t>
      </w:r>
    </w:p>
    <w:p w14:paraId="464B4078" w14:textId="77777777" w:rsidR="00632407" w:rsidRPr="00D93A6F" w:rsidRDefault="00632407" w:rsidP="00632407">
      <w:pPr>
        <w:rPr>
          <w:sz w:val="22"/>
          <w:szCs w:val="22"/>
        </w:rPr>
      </w:pPr>
    </w:p>
    <w:p w14:paraId="4FF52012" w14:textId="77777777" w:rsidR="00736B52" w:rsidRPr="00D93A6F" w:rsidRDefault="00736B52" w:rsidP="00572AD1">
      <w:pPr>
        <w:ind w:firstLine="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4.9</w:t>
      </w:r>
      <w:r w:rsidRPr="00D93A6F">
        <w:rPr>
          <w:b/>
          <w:bCs/>
          <w:sz w:val="22"/>
          <w:szCs w:val="22"/>
        </w:rPr>
        <w:tab/>
      </w:r>
      <w:r w:rsidRPr="00D93A6F">
        <w:rPr>
          <w:b/>
          <w:sz w:val="22"/>
          <w:szCs w:val="22"/>
        </w:rPr>
        <w:t>Túladagolás</w:t>
      </w:r>
    </w:p>
    <w:p w14:paraId="09DC42A3" w14:textId="77777777" w:rsidR="00736B52" w:rsidRPr="00D93A6F" w:rsidRDefault="00736B52" w:rsidP="00572AD1">
      <w:pPr>
        <w:rPr>
          <w:i/>
          <w:iCs/>
          <w:sz w:val="22"/>
          <w:szCs w:val="22"/>
        </w:rPr>
      </w:pPr>
    </w:p>
    <w:p w14:paraId="61F51080" w14:textId="77777777" w:rsidR="00736B52" w:rsidRPr="00D93A6F" w:rsidRDefault="00736B52" w:rsidP="00572AD1">
      <w:pPr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Az intoxikáció tünetei:</w:t>
      </w:r>
    </w:p>
    <w:p w14:paraId="1186DB90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PTU-val történt heveny mérgezésről nincsenek adatok. </w:t>
      </w:r>
    </w:p>
    <w:p w14:paraId="7DA1EDB6" w14:textId="77777777" w:rsidR="00736B52" w:rsidRPr="00D93A6F" w:rsidRDefault="00736B52" w:rsidP="00572AD1">
      <w:pPr>
        <w:pStyle w:val="Szvegtrzselssora"/>
        <w:spacing w:after="0"/>
        <w:ind w:firstLine="0"/>
        <w:rPr>
          <w:sz w:val="22"/>
          <w:szCs w:val="22"/>
        </w:rPr>
      </w:pPr>
      <w:r w:rsidRPr="00D93A6F">
        <w:rPr>
          <w:sz w:val="22"/>
          <w:szCs w:val="22"/>
        </w:rPr>
        <w:t>A krónikus túladagolás strúma kialakulását okozhatja és hypothyreosist idéz elő, a hypothyreosis mértékének megfelelő tünetekkel.</w:t>
      </w:r>
    </w:p>
    <w:p w14:paraId="48296D7B" w14:textId="77777777" w:rsidR="00736B52" w:rsidRPr="00D93A6F" w:rsidRDefault="00736B52" w:rsidP="00572AD1">
      <w:pPr>
        <w:pStyle w:val="lfej"/>
        <w:tabs>
          <w:tab w:val="clear" w:pos="4818"/>
          <w:tab w:val="clear" w:pos="9637"/>
        </w:tabs>
        <w:ind w:firstLine="15"/>
        <w:rPr>
          <w:i/>
          <w:iCs/>
          <w:sz w:val="22"/>
          <w:szCs w:val="22"/>
        </w:rPr>
      </w:pPr>
    </w:p>
    <w:p w14:paraId="7859E604" w14:textId="77777777" w:rsidR="00736B52" w:rsidRPr="00D93A6F" w:rsidRDefault="00736B52" w:rsidP="00572AD1">
      <w:pPr>
        <w:pStyle w:val="lfej"/>
        <w:tabs>
          <w:tab w:val="clear" w:pos="4818"/>
          <w:tab w:val="clear" w:pos="9637"/>
        </w:tabs>
        <w:ind w:firstLine="15"/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A túladagolás kezelése:</w:t>
      </w:r>
    </w:p>
    <w:p w14:paraId="2BDA1B98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Akut túladagolás esetén alkalmazandó speciális intézkedés nem ismert. A gyors felszívódás miatt a gyomormosás és a tablettamaradványok endoszkópos eltávolítása kétes értékű. </w:t>
      </w:r>
    </w:p>
    <w:p w14:paraId="69615EAC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Ha krónikus túladagolás következtében strúma vagy hypothyreosis alakul ki (a hypothyreosis mértékének megfelelő tünetekkel), a </w:t>
      </w:r>
      <w:r w:rsidRPr="00D93A6F">
        <w:rPr>
          <w:bCs/>
          <w:sz w:val="22"/>
          <w:szCs w:val="22"/>
        </w:rPr>
        <w:t>Propycil-lel</w:t>
      </w:r>
      <w:r w:rsidRPr="00D93A6F">
        <w:rPr>
          <w:sz w:val="22"/>
          <w:szCs w:val="22"/>
        </w:rPr>
        <w:t xml:space="preserve"> történő kezelést le kell állítani. </w:t>
      </w:r>
    </w:p>
    <w:p w14:paraId="5779DF20" w14:textId="77777777" w:rsidR="00736B52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Amennyiben a hypothyreosis vagy a strúma súlyossági foka ezt szükségessé teszi, tiroxin</w:t>
      </w:r>
      <w:r w:rsidR="00DD488E" w:rsidRPr="00D93A6F">
        <w:rPr>
          <w:sz w:val="22"/>
          <w:szCs w:val="22"/>
        </w:rPr>
        <w:t>-</w:t>
      </w:r>
      <w:r w:rsidRPr="00D93A6F">
        <w:rPr>
          <w:sz w:val="22"/>
          <w:szCs w:val="22"/>
        </w:rPr>
        <w:t xml:space="preserve">szubsztitúciót lehet alkalmazni. A PTU hatásának megszűnése után általában a pajzsmirigy működésének spontán helyreállására lehet számítani. </w:t>
      </w:r>
    </w:p>
    <w:p w14:paraId="7971A504" w14:textId="77777777" w:rsidR="0021251C" w:rsidRDefault="0021251C" w:rsidP="00572AD1">
      <w:pPr>
        <w:ind w:left="-15"/>
        <w:rPr>
          <w:sz w:val="22"/>
          <w:szCs w:val="22"/>
        </w:rPr>
      </w:pPr>
    </w:p>
    <w:p w14:paraId="17D474DB" w14:textId="77777777" w:rsidR="0021251C" w:rsidRPr="00D93A6F" w:rsidRDefault="0021251C" w:rsidP="00572AD1">
      <w:pPr>
        <w:ind w:left="-15"/>
        <w:rPr>
          <w:sz w:val="22"/>
          <w:szCs w:val="22"/>
        </w:rPr>
      </w:pPr>
    </w:p>
    <w:p w14:paraId="4C93A656" w14:textId="77777777" w:rsidR="00736B52" w:rsidRPr="00D93A6F" w:rsidRDefault="00736B52" w:rsidP="007522D5">
      <w:pPr>
        <w:keepNext/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5.</w:t>
      </w:r>
      <w:r w:rsidRPr="00D93A6F">
        <w:rPr>
          <w:b/>
          <w:bCs/>
          <w:sz w:val="22"/>
          <w:szCs w:val="22"/>
        </w:rPr>
        <w:tab/>
        <w:t>FARMAKOLÓGIAI TULAJDONSÁGOK</w:t>
      </w:r>
    </w:p>
    <w:p w14:paraId="57611499" w14:textId="77777777" w:rsidR="00736B52" w:rsidRPr="00D93A6F" w:rsidRDefault="00736B52" w:rsidP="007522D5">
      <w:pPr>
        <w:keepNext/>
        <w:rPr>
          <w:b/>
          <w:sz w:val="22"/>
          <w:szCs w:val="22"/>
        </w:rPr>
      </w:pPr>
    </w:p>
    <w:p w14:paraId="426005E0" w14:textId="77777777" w:rsidR="00736B52" w:rsidRPr="00D93A6F" w:rsidRDefault="00736B52" w:rsidP="007522D5">
      <w:pPr>
        <w:keepNext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5.1</w:t>
      </w:r>
      <w:r w:rsidRPr="00D93A6F">
        <w:rPr>
          <w:b/>
          <w:sz w:val="22"/>
          <w:szCs w:val="22"/>
        </w:rPr>
        <w:tab/>
        <w:t>Farmakodinámiás tulajdonságok</w:t>
      </w:r>
    </w:p>
    <w:p w14:paraId="78CE4979" w14:textId="77777777" w:rsidR="00736B52" w:rsidRPr="00D93A6F" w:rsidRDefault="00736B52" w:rsidP="007522D5">
      <w:pPr>
        <w:keepNext/>
        <w:rPr>
          <w:bCs/>
          <w:sz w:val="22"/>
          <w:szCs w:val="22"/>
        </w:rPr>
      </w:pPr>
    </w:p>
    <w:p w14:paraId="1CE5A4C4" w14:textId="77777777" w:rsidR="00736B52" w:rsidRPr="00D93A6F" w:rsidRDefault="00736B52" w:rsidP="007522D5">
      <w:pPr>
        <w:keepNext/>
        <w:rPr>
          <w:bCs/>
          <w:sz w:val="22"/>
          <w:szCs w:val="22"/>
        </w:rPr>
      </w:pPr>
      <w:r w:rsidRPr="00D93A6F">
        <w:rPr>
          <w:bCs/>
          <w:sz w:val="22"/>
          <w:szCs w:val="22"/>
        </w:rPr>
        <w:t xml:space="preserve">Farmakoterápiás csoport: </w:t>
      </w:r>
      <w:r w:rsidR="002B063C" w:rsidRPr="00D93A6F">
        <w:rPr>
          <w:bCs/>
          <w:sz w:val="22"/>
          <w:szCs w:val="22"/>
        </w:rPr>
        <w:t>antitiroid készít</w:t>
      </w:r>
      <w:r w:rsidR="000E4D49" w:rsidRPr="00D93A6F">
        <w:rPr>
          <w:bCs/>
          <w:sz w:val="22"/>
          <w:szCs w:val="22"/>
        </w:rPr>
        <w:t xml:space="preserve">mények, </w:t>
      </w:r>
      <w:r w:rsidR="000E4D49" w:rsidRPr="00D93A6F">
        <w:rPr>
          <w:rStyle w:val="mw-headline"/>
          <w:sz w:val="22"/>
          <w:szCs w:val="22"/>
        </w:rPr>
        <w:t>tiouracilok,</w:t>
      </w:r>
      <w:r w:rsidR="000E4D49" w:rsidRPr="00D93A6F">
        <w:rPr>
          <w:bCs/>
          <w:sz w:val="22"/>
          <w:szCs w:val="22"/>
        </w:rPr>
        <w:t xml:space="preserve"> </w:t>
      </w:r>
      <w:r w:rsidR="00DD488E" w:rsidRPr="00D93A6F">
        <w:rPr>
          <w:bCs/>
          <w:sz w:val="22"/>
          <w:szCs w:val="22"/>
        </w:rPr>
        <w:tab/>
      </w:r>
      <w:r w:rsidR="00DD488E" w:rsidRPr="00D93A6F">
        <w:rPr>
          <w:bCs/>
          <w:sz w:val="22"/>
          <w:szCs w:val="22"/>
        </w:rPr>
        <w:tab/>
      </w:r>
      <w:r w:rsidR="00DD488E" w:rsidRPr="00D93A6F">
        <w:rPr>
          <w:bCs/>
          <w:sz w:val="22"/>
          <w:szCs w:val="22"/>
        </w:rPr>
        <w:tab/>
      </w:r>
      <w:r w:rsidRPr="00D93A6F">
        <w:rPr>
          <w:bCs/>
          <w:sz w:val="22"/>
          <w:szCs w:val="22"/>
        </w:rPr>
        <w:t>ATC</w:t>
      </w:r>
      <w:r w:rsidR="000E4D49" w:rsidRPr="00D93A6F">
        <w:rPr>
          <w:bCs/>
          <w:sz w:val="22"/>
          <w:szCs w:val="22"/>
        </w:rPr>
        <w:t xml:space="preserve"> kód</w:t>
      </w:r>
      <w:r w:rsidRPr="00D93A6F">
        <w:rPr>
          <w:bCs/>
          <w:sz w:val="22"/>
          <w:szCs w:val="22"/>
        </w:rPr>
        <w:t>: H03BA02</w:t>
      </w:r>
    </w:p>
    <w:p w14:paraId="30EEA5C8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4E5AB46F" w14:textId="77777777" w:rsidR="00736B52" w:rsidRPr="00D93A6F" w:rsidRDefault="00736B52" w:rsidP="00572AD1">
      <w:pPr>
        <w:pStyle w:val="Szvegtrzs"/>
        <w:spacing w:after="0"/>
        <w:rPr>
          <w:sz w:val="22"/>
          <w:szCs w:val="22"/>
        </w:rPr>
      </w:pPr>
      <w:r w:rsidRPr="00D93A6F">
        <w:rPr>
          <w:sz w:val="22"/>
          <w:szCs w:val="22"/>
        </w:rPr>
        <w:t>A</w:t>
      </w:r>
      <w:r w:rsidR="002B063C" w:rsidRPr="00D93A6F">
        <w:rPr>
          <w:sz w:val="22"/>
          <w:szCs w:val="22"/>
        </w:rPr>
        <w:t xml:space="preserve"> propil</w:t>
      </w:r>
      <w:r w:rsidRPr="00D93A6F">
        <w:rPr>
          <w:sz w:val="22"/>
          <w:szCs w:val="22"/>
        </w:rPr>
        <w:t>tiouracil thyreostati</w:t>
      </w:r>
      <w:r w:rsidR="009013AF">
        <w:rPr>
          <w:sz w:val="22"/>
          <w:szCs w:val="22"/>
        </w:rPr>
        <w:t>c</w:t>
      </w:r>
      <w:r w:rsidRPr="00D93A6F">
        <w:rPr>
          <w:sz w:val="22"/>
          <w:szCs w:val="22"/>
        </w:rPr>
        <w:t>um, amely az intrathyreoid</w:t>
      </w:r>
      <w:r w:rsidR="00F612CA" w:rsidRPr="00D93A6F">
        <w:rPr>
          <w:sz w:val="22"/>
          <w:szCs w:val="22"/>
        </w:rPr>
        <w:t>-</w:t>
      </w:r>
      <w:r w:rsidRPr="00D93A6F">
        <w:rPr>
          <w:sz w:val="22"/>
          <w:szCs w:val="22"/>
        </w:rPr>
        <w:t>peroxidáz rendszer gátlása révén fejti ki hatás</w:t>
      </w:r>
      <w:r w:rsidR="002B063C" w:rsidRPr="00D93A6F">
        <w:rPr>
          <w:sz w:val="22"/>
          <w:szCs w:val="22"/>
        </w:rPr>
        <w:t>á</w:t>
      </w:r>
      <w:r w:rsidRPr="00D93A6F">
        <w:rPr>
          <w:sz w:val="22"/>
          <w:szCs w:val="22"/>
        </w:rPr>
        <w:t>t. Gátolj</w:t>
      </w:r>
      <w:r w:rsidR="002B063C" w:rsidRPr="00D93A6F">
        <w:rPr>
          <w:sz w:val="22"/>
          <w:szCs w:val="22"/>
        </w:rPr>
        <w:t>a</w:t>
      </w:r>
      <w:r w:rsidRPr="00D93A6F">
        <w:rPr>
          <w:sz w:val="22"/>
          <w:szCs w:val="22"/>
        </w:rPr>
        <w:t xml:space="preserve"> a jódnak a thyreoglobulinba való beépülését és ezáltal a tiroxin termelődését. </w:t>
      </w:r>
    </w:p>
    <w:p w14:paraId="08C8EACF" w14:textId="77777777" w:rsidR="00736B52" w:rsidRPr="00D93A6F" w:rsidRDefault="00736B52" w:rsidP="00572AD1">
      <w:pPr>
        <w:pStyle w:val="Szvegtrzs"/>
        <w:spacing w:after="0"/>
        <w:rPr>
          <w:sz w:val="22"/>
          <w:szCs w:val="22"/>
        </w:rPr>
      </w:pPr>
      <w:r w:rsidRPr="00D93A6F">
        <w:rPr>
          <w:sz w:val="22"/>
          <w:szCs w:val="22"/>
        </w:rPr>
        <w:t>Akadályozz</w:t>
      </w:r>
      <w:r w:rsidR="002B063C" w:rsidRPr="00D93A6F">
        <w:rPr>
          <w:sz w:val="22"/>
          <w:szCs w:val="22"/>
        </w:rPr>
        <w:t>a</w:t>
      </w:r>
      <w:r w:rsidRPr="00D93A6F">
        <w:rPr>
          <w:sz w:val="22"/>
          <w:szCs w:val="22"/>
        </w:rPr>
        <w:t xml:space="preserve"> emellett a thyreoglobulin-molekulákban a dijódtirozin- és a monojódtirozin-szintézist.</w:t>
      </w:r>
    </w:p>
    <w:p w14:paraId="1EE4AA91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propiltiouracil csökkenti a jód mennyiségét a pajzsmirigyben, valamint gátolja a periférián a tiroxin (T</w:t>
      </w:r>
      <w:r w:rsidRPr="00D93A6F">
        <w:rPr>
          <w:sz w:val="22"/>
          <w:szCs w:val="22"/>
          <w:vertAlign w:val="subscript"/>
        </w:rPr>
        <w:t>4</w:t>
      </w:r>
      <w:r w:rsidRPr="00D93A6F">
        <w:rPr>
          <w:sz w:val="22"/>
          <w:szCs w:val="22"/>
        </w:rPr>
        <w:t>) trijódtironinná (T</w:t>
      </w:r>
      <w:r w:rsidRPr="00D93A6F">
        <w:rPr>
          <w:sz w:val="22"/>
          <w:szCs w:val="22"/>
          <w:vertAlign w:val="subscript"/>
        </w:rPr>
        <w:t>3</w:t>
      </w:r>
      <w:r w:rsidRPr="00D93A6F">
        <w:rPr>
          <w:sz w:val="22"/>
          <w:szCs w:val="22"/>
        </w:rPr>
        <w:t xml:space="preserve">) történő alakulását. </w:t>
      </w:r>
    </w:p>
    <w:p w14:paraId="45704C53" w14:textId="77777777" w:rsidR="00736B52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Ezek a jellemzők teszik lehetővé a hyperthyreosis tüneti kezelését, függetlenül annak etiológiájától. A Propycil valószínűleg nem befolyásolja a betegség természetes immunológiai folyamatát. Nem hat a már szintetizálódott pajzsmirigyhormonokra. Ez ad magyarázatot arra, hogy a klinikai javulás jelentkezésének ideje miért tér el az egyes betegeknél. A propiltiouracil nem befolyásolja a pajzsmirigyszövet (pl. sugárterápia által történő) elpusztítása következtében jelentkező pajzsmirigyhormon-kibocsátást sem.</w:t>
      </w:r>
    </w:p>
    <w:p w14:paraId="002CE938" w14:textId="77777777" w:rsidR="002B063C" w:rsidRPr="00D93A6F" w:rsidRDefault="002B063C" w:rsidP="00572AD1">
      <w:pPr>
        <w:rPr>
          <w:sz w:val="22"/>
          <w:szCs w:val="22"/>
        </w:rPr>
      </w:pPr>
    </w:p>
    <w:p w14:paraId="55FBAD62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5.2</w:t>
      </w:r>
      <w:r w:rsidRPr="00D93A6F">
        <w:rPr>
          <w:b/>
          <w:sz w:val="22"/>
          <w:szCs w:val="22"/>
        </w:rPr>
        <w:tab/>
        <w:t>Farmakokinetikai tulajdonságok</w:t>
      </w:r>
    </w:p>
    <w:p w14:paraId="3337709B" w14:textId="77777777" w:rsidR="00736B52" w:rsidRPr="00D93A6F" w:rsidRDefault="00736B52" w:rsidP="00572AD1">
      <w:pPr>
        <w:rPr>
          <w:sz w:val="22"/>
          <w:szCs w:val="22"/>
        </w:rPr>
      </w:pPr>
    </w:p>
    <w:p w14:paraId="70E7B0AA" w14:textId="77777777" w:rsidR="002B063C" w:rsidRPr="00D93A6F" w:rsidRDefault="002B063C" w:rsidP="00572AD1">
      <w:pPr>
        <w:ind w:left="-30"/>
        <w:rPr>
          <w:i/>
          <w:sz w:val="22"/>
          <w:szCs w:val="22"/>
        </w:rPr>
      </w:pPr>
      <w:r w:rsidRPr="00D93A6F">
        <w:rPr>
          <w:i/>
          <w:sz w:val="22"/>
          <w:szCs w:val="22"/>
        </w:rPr>
        <w:t>Felszívódás és eloszlás</w:t>
      </w:r>
    </w:p>
    <w:p w14:paraId="0371591B" w14:textId="77777777" w:rsidR="00736B52" w:rsidRPr="00D93A6F" w:rsidRDefault="00736B52" w:rsidP="00572AD1">
      <w:pPr>
        <w:ind w:left="-30"/>
        <w:rPr>
          <w:sz w:val="22"/>
          <w:szCs w:val="22"/>
        </w:rPr>
      </w:pPr>
      <w:r w:rsidRPr="00D93A6F">
        <w:rPr>
          <w:sz w:val="22"/>
          <w:szCs w:val="22"/>
        </w:rPr>
        <w:t>Orális alkalmazás után a propiltiouracil jól felszívódik, a maximális szérumkoncentráció a bevétel után 1-2 órával alakul ki.</w:t>
      </w:r>
    </w:p>
    <w:p w14:paraId="2E74114A" w14:textId="77777777" w:rsidR="00736B52" w:rsidRPr="00D93A6F" w:rsidRDefault="00736B52" w:rsidP="00572AD1">
      <w:pPr>
        <w:pStyle w:val="Szvegtrzsbehzssal"/>
        <w:ind w:right="0"/>
        <w:jc w:val="left"/>
        <w:rPr>
          <w:sz w:val="22"/>
          <w:szCs w:val="22"/>
        </w:rPr>
      </w:pPr>
      <w:r w:rsidRPr="00D93A6F">
        <w:rPr>
          <w:sz w:val="22"/>
          <w:szCs w:val="22"/>
        </w:rPr>
        <w:t>A thyreostati</w:t>
      </w:r>
      <w:r w:rsidR="009013AF">
        <w:rPr>
          <w:sz w:val="22"/>
          <w:szCs w:val="22"/>
        </w:rPr>
        <w:t>c</w:t>
      </w:r>
      <w:r w:rsidRPr="00D93A6F">
        <w:rPr>
          <w:sz w:val="22"/>
          <w:szCs w:val="22"/>
        </w:rPr>
        <w:t xml:space="preserve">umok aktív transzportmechanizmus révén a pajzsmirigyben koncentrálódnak. Bár 8 órával az alkalmazás után a propiltiouracil már nem mutatható ki a szérumban, egy nagyobb egyszeri dózis hatásának időtartama 6-8 óra a pajzsmirigyben való akkumuláció miatt. A biohasznosulás per os alkalmazás esetén kb. 80%. </w:t>
      </w:r>
    </w:p>
    <w:p w14:paraId="35C80B5E" w14:textId="77777777" w:rsidR="00736B52" w:rsidRPr="00D93A6F" w:rsidRDefault="00736B52" w:rsidP="00572AD1">
      <w:pPr>
        <w:rPr>
          <w:sz w:val="22"/>
          <w:szCs w:val="22"/>
        </w:rPr>
      </w:pPr>
    </w:p>
    <w:p w14:paraId="5668D390" w14:textId="77777777" w:rsidR="002B063C" w:rsidRPr="00D93A6F" w:rsidRDefault="000F0D59" w:rsidP="00572AD1">
      <w:pPr>
        <w:rPr>
          <w:i/>
          <w:sz w:val="22"/>
          <w:szCs w:val="22"/>
        </w:rPr>
      </w:pPr>
      <w:r w:rsidRPr="00D93A6F">
        <w:rPr>
          <w:i/>
          <w:sz w:val="22"/>
          <w:szCs w:val="22"/>
        </w:rPr>
        <w:t xml:space="preserve">Biotranszformáció </w:t>
      </w:r>
      <w:r w:rsidR="002B063C" w:rsidRPr="00D93A6F">
        <w:rPr>
          <w:i/>
          <w:sz w:val="22"/>
          <w:szCs w:val="22"/>
        </w:rPr>
        <w:t>és elimináció</w:t>
      </w:r>
    </w:p>
    <w:p w14:paraId="0E8920EB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A propiltiouracil plazmafelezési ideje k</w:t>
      </w:r>
      <w:r w:rsidR="00F46D67" w:rsidRPr="00D93A6F">
        <w:rPr>
          <w:sz w:val="22"/>
          <w:szCs w:val="22"/>
        </w:rPr>
        <w:t>b</w:t>
      </w:r>
      <w:r w:rsidRPr="00D93A6F">
        <w:rPr>
          <w:sz w:val="22"/>
          <w:szCs w:val="22"/>
        </w:rPr>
        <w:t>. 1-2 óra. A propiltiouracil valószínűleg a májban metabolizálódik és a vizelettel ürül, kismértékben változatlan formában, s több mint 50%-ban gl</w:t>
      </w:r>
      <w:r w:rsidR="000F0D59" w:rsidRPr="00D93A6F">
        <w:rPr>
          <w:sz w:val="22"/>
          <w:szCs w:val="22"/>
        </w:rPr>
        <w:t>ü</w:t>
      </w:r>
      <w:r w:rsidRPr="00D93A6F">
        <w:rPr>
          <w:sz w:val="22"/>
          <w:szCs w:val="22"/>
        </w:rPr>
        <w:t xml:space="preserve">kuronsavhoz konjugált formában. </w:t>
      </w:r>
    </w:p>
    <w:p w14:paraId="3DC09689" w14:textId="77777777" w:rsidR="002B063C" w:rsidRPr="00D93A6F" w:rsidRDefault="002B063C" w:rsidP="00572AD1">
      <w:pPr>
        <w:rPr>
          <w:sz w:val="22"/>
          <w:szCs w:val="22"/>
        </w:rPr>
      </w:pPr>
    </w:p>
    <w:p w14:paraId="205BE455" w14:textId="77777777" w:rsidR="002B063C" w:rsidRPr="00D93A6F" w:rsidRDefault="002B063C" w:rsidP="00572AD1">
      <w:pPr>
        <w:rPr>
          <w:i/>
          <w:sz w:val="22"/>
          <w:szCs w:val="22"/>
        </w:rPr>
      </w:pPr>
      <w:r w:rsidRPr="00D93A6F">
        <w:rPr>
          <w:i/>
          <w:sz w:val="22"/>
          <w:szCs w:val="22"/>
        </w:rPr>
        <w:t xml:space="preserve">Farmakokinetika </w:t>
      </w:r>
      <w:r w:rsidR="00AE3AE4">
        <w:rPr>
          <w:i/>
          <w:sz w:val="22"/>
          <w:szCs w:val="22"/>
        </w:rPr>
        <w:t xml:space="preserve">különleges </w:t>
      </w:r>
      <w:r w:rsidRPr="00D93A6F">
        <w:rPr>
          <w:i/>
          <w:sz w:val="22"/>
          <w:szCs w:val="22"/>
        </w:rPr>
        <w:t>betegcsoportokban</w:t>
      </w:r>
    </w:p>
    <w:p w14:paraId="00534D33" w14:textId="77777777" w:rsidR="002B063C" w:rsidRPr="00D93A6F" w:rsidRDefault="002B063C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>Idős</w:t>
      </w:r>
      <w:r w:rsidR="00AE3AE4">
        <w:rPr>
          <w:sz w:val="22"/>
          <w:szCs w:val="22"/>
        </w:rPr>
        <w:t>ek:</w:t>
      </w:r>
      <w:r w:rsidRPr="00D93A6F">
        <w:rPr>
          <w:sz w:val="22"/>
          <w:szCs w:val="22"/>
        </w:rPr>
        <w:t xml:space="preserve"> nem áll rendelkezésre a propiltiouracilra vonatkozó speciális adat.</w:t>
      </w:r>
    </w:p>
    <w:p w14:paraId="16C55979" w14:textId="77777777" w:rsidR="002B063C" w:rsidRPr="00D93A6F" w:rsidRDefault="002B063C" w:rsidP="00572AD1">
      <w:pPr>
        <w:rPr>
          <w:sz w:val="22"/>
          <w:szCs w:val="22"/>
        </w:rPr>
      </w:pPr>
    </w:p>
    <w:p w14:paraId="2C06366D" w14:textId="77777777" w:rsidR="00736B52" w:rsidRPr="00D93A6F" w:rsidRDefault="00736B52" w:rsidP="00572AD1">
      <w:pPr>
        <w:ind w:firstLine="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5.3</w:t>
      </w:r>
      <w:r w:rsidRPr="00D93A6F">
        <w:rPr>
          <w:b/>
          <w:sz w:val="22"/>
          <w:szCs w:val="22"/>
        </w:rPr>
        <w:tab/>
        <w:t>A preklinikai biztonságossági vizsgálatok eredményei</w:t>
      </w:r>
    </w:p>
    <w:p w14:paraId="0562AFAD" w14:textId="77777777" w:rsidR="00736B52" w:rsidRPr="00D93A6F" w:rsidRDefault="00736B52" w:rsidP="00572AD1">
      <w:pPr>
        <w:rPr>
          <w:sz w:val="22"/>
          <w:szCs w:val="22"/>
        </w:rPr>
      </w:pPr>
    </w:p>
    <w:p w14:paraId="35FA2EC1" w14:textId="77777777" w:rsidR="00736B52" w:rsidRPr="00D93A6F" w:rsidRDefault="00736B52" w:rsidP="00572AD1">
      <w:pPr>
        <w:pStyle w:val="Cmsor4"/>
        <w:rPr>
          <w:sz w:val="22"/>
          <w:szCs w:val="22"/>
        </w:rPr>
      </w:pPr>
      <w:r w:rsidRPr="00D93A6F">
        <w:rPr>
          <w:sz w:val="22"/>
          <w:szCs w:val="22"/>
        </w:rPr>
        <w:t>Akut toxicitás</w:t>
      </w:r>
    </w:p>
    <w:p w14:paraId="59E070B6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A PTU </w:t>
      </w:r>
      <w:r w:rsidR="002B063C" w:rsidRPr="00D93A6F">
        <w:rPr>
          <w:sz w:val="22"/>
          <w:szCs w:val="22"/>
        </w:rPr>
        <w:t xml:space="preserve">akut letális </w:t>
      </w:r>
      <w:r w:rsidRPr="00D93A6F">
        <w:rPr>
          <w:sz w:val="22"/>
          <w:szCs w:val="22"/>
        </w:rPr>
        <w:t>adagja patkányok</w:t>
      </w:r>
      <w:r w:rsidR="00AB4865">
        <w:rPr>
          <w:sz w:val="22"/>
          <w:szCs w:val="22"/>
        </w:rPr>
        <w:t>nál</w:t>
      </w:r>
      <w:r w:rsidRPr="00D93A6F">
        <w:rPr>
          <w:sz w:val="22"/>
          <w:szCs w:val="22"/>
        </w:rPr>
        <w:t xml:space="preserve"> orális alkalmazást követően </w:t>
      </w:r>
      <w:r w:rsidR="002B063C" w:rsidRPr="00D93A6F">
        <w:rPr>
          <w:sz w:val="22"/>
          <w:szCs w:val="22"/>
        </w:rPr>
        <w:t xml:space="preserve">4 </w:t>
      </w:r>
      <w:r w:rsidRPr="00D93A6F">
        <w:rPr>
          <w:sz w:val="22"/>
          <w:szCs w:val="22"/>
        </w:rPr>
        <w:t>g/ttkg.</w:t>
      </w:r>
    </w:p>
    <w:p w14:paraId="1250E4B7" w14:textId="77777777" w:rsidR="00736B52" w:rsidRPr="00D93A6F" w:rsidRDefault="00736B52" w:rsidP="00572AD1">
      <w:pPr>
        <w:rPr>
          <w:sz w:val="22"/>
          <w:szCs w:val="22"/>
        </w:rPr>
      </w:pPr>
    </w:p>
    <w:p w14:paraId="4462F7DA" w14:textId="77777777" w:rsidR="00736B52" w:rsidRPr="00D93A6F" w:rsidRDefault="00736B52" w:rsidP="00572AD1">
      <w:pPr>
        <w:pStyle w:val="Cmsor4"/>
        <w:rPr>
          <w:sz w:val="22"/>
          <w:szCs w:val="22"/>
        </w:rPr>
      </w:pPr>
      <w:r w:rsidRPr="00D93A6F">
        <w:rPr>
          <w:sz w:val="22"/>
          <w:szCs w:val="22"/>
        </w:rPr>
        <w:t>Krónikus toxicitás</w:t>
      </w:r>
    </w:p>
    <w:p w14:paraId="23CB48F4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Patkányok</w:t>
      </w:r>
      <w:r w:rsidR="006C1413">
        <w:rPr>
          <w:sz w:val="22"/>
          <w:szCs w:val="22"/>
        </w:rPr>
        <w:t>nál</w:t>
      </w:r>
      <w:r w:rsidRPr="00D93A6F">
        <w:rPr>
          <w:sz w:val="22"/>
          <w:szCs w:val="22"/>
        </w:rPr>
        <w:t xml:space="preserve"> különböző alkalmazási módokkal végzett szubkrónikus toxicitási vizsgálatokban olyan dózisfüggő toxikus hatásokat észleltek, mint a </w:t>
      </w:r>
      <w:r w:rsidR="00AB4865">
        <w:rPr>
          <w:sz w:val="22"/>
          <w:szCs w:val="22"/>
        </w:rPr>
        <w:t>testtömeg-növekedés</w:t>
      </w:r>
      <w:r w:rsidRPr="00D93A6F">
        <w:rPr>
          <w:sz w:val="22"/>
          <w:szCs w:val="22"/>
        </w:rPr>
        <w:t xml:space="preserve"> mérséklődése, pajzsmirigy-hyperplasia, leucocytopenia, hepatomegalia.</w:t>
      </w:r>
    </w:p>
    <w:p w14:paraId="48BA7B8D" w14:textId="77777777" w:rsidR="00736B52" w:rsidRPr="00D93A6F" w:rsidRDefault="00736B52" w:rsidP="00572AD1">
      <w:pPr>
        <w:rPr>
          <w:sz w:val="22"/>
          <w:szCs w:val="22"/>
        </w:rPr>
      </w:pPr>
    </w:p>
    <w:p w14:paraId="3522B1EE" w14:textId="77777777" w:rsidR="00736B52" w:rsidRPr="00D93A6F" w:rsidRDefault="00736B52" w:rsidP="00572AD1">
      <w:pPr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Mutagenitás és karcinogenitás</w:t>
      </w:r>
    </w:p>
    <w:p w14:paraId="0F10CBE9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Mutagenitás szempontjából a propiltiouracilra vonatkozóan nem áll rendelkezésre elegendő eredmény.</w:t>
      </w:r>
    </w:p>
    <w:p w14:paraId="126B51F6" w14:textId="77777777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Többféle állatfaj</w:t>
      </w:r>
      <w:r w:rsidR="006C1413">
        <w:rPr>
          <w:sz w:val="22"/>
          <w:szCs w:val="22"/>
        </w:rPr>
        <w:t>jal</w:t>
      </w:r>
      <w:r w:rsidRPr="00D93A6F">
        <w:rPr>
          <w:sz w:val="22"/>
          <w:szCs w:val="22"/>
        </w:rPr>
        <w:t xml:space="preserve"> végzett kísérletekben a PTU orális alkalmazását követően a pajzsmirigytumor előfordulási gyakoriságának megnövekedését, továbbá hypophysisadenoma előfordulását észlelték. A PTU-t közismerten karcinogén anyagokkal együtt alkalmazva e</w:t>
      </w:r>
      <w:r w:rsidR="006C1413">
        <w:rPr>
          <w:sz w:val="22"/>
          <w:szCs w:val="22"/>
        </w:rPr>
        <w:t>nnek a</w:t>
      </w:r>
      <w:r w:rsidRPr="00D93A6F">
        <w:rPr>
          <w:sz w:val="22"/>
          <w:szCs w:val="22"/>
        </w:rPr>
        <w:t xml:space="preserve"> hatás</w:t>
      </w:r>
      <w:r w:rsidR="006C1413">
        <w:rPr>
          <w:sz w:val="22"/>
          <w:szCs w:val="22"/>
        </w:rPr>
        <w:t>nak a</w:t>
      </w:r>
      <w:r w:rsidRPr="00D93A6F">
        <w:rPr>
          <w:sz w:val="22"/>
          <w:szCs w:val="22"/>
        </w:rPr>
        <w:t xml:space="preserve"> fokozódása volt megfigyelhető.</w:t>
      </w:r>
    </w:p>
    <w:p w14:paraId="3A33F334" w14:textId="77777777" w:rsidR="002B063C" w:rsidRDefault="002B063C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>Az emberek</w:t>
      </w:r>
      <w:r w:rsidR="006C1413">
        <w:rPr>
          <w:sz w:val="22"/>
          <w:szCs w:val="22"/>
        </w:rPr>
        <w:t xml:space="preserve">nél </w:t>
      </w:r>
      <w:r w:rsidRPr="00D93A6F">
        <w:rPr>
          <w:sz w:val="22"/>
          <w:szCs w:val="22"/>
        </w:rPr>
        <w:t>alkalmazott thyreostatikus propiltiouracil-terápia esetében a terápia feltételezett tumorindukciós hatása nem igazolódott.</w:t>
      </w:r>
    </w:p>
    <w:p w14:paraId="7605EB80" w14:textId="77777777" w:rsidR="007522D5" w:rsidRPr="00D93A6F" w:rsidRDefault="007522D5" w:rsidP="00572AD1">
      <w:pPr>
        <w:ind w:left="-15"/>
        <w:rPr>
          <w:sz w:val="22"/>
          <w:szCs w:val="22"/>
        </w:rPr>
      </w:pPr>
    </w:p>
    <w:p w14:paraId="5C2896FE" w14:textId="77777777" w:rsidR="00736B52" w:rsidRPr="00D93A6F" w:rsidRDefault="00736B52" w:rsidP="00FC5D25">
      <w:pPr>
        <w:keepNext/>
        <w:rPr>
          <w:i/>
          <w:iCs/>
          <w:sz w:val="22"/>
          <w:szCs w:val="22"/>
        </w:rPr>
      </w:pPr>
      <w:r w:rsidRPr="00D93A6F">
        <w:rPr>
          <w:i/>
          <w:iCs/>
          <w:sz w:val="22"/>
          <w:szCs w:val="22"/>
        </w:rPr>
        <w:t>Reprodukciós toxicitás</w:t>
      </w:r>
    </w:p>
    <w:p w14:paraId="1C35741A" w14:textId="77777777" w:rsidR="00736B52" w:rsidRPr="00D93A6F" w:rsidRDefault="00736B52" w:rsidP="00FC5D25">
      <w:pPr>
        <w:keepNext/>
        <w:ind w:left="-15"/>
        <w:rPr>
          <w:sz w:val="22"/>
          <w:szCs w:val="22"/>
        </w:rPr>
      </w:pPr>
      <w:r w:rsidRPr="00D93A6F">
        <w:rPr>
          <w:sz w:val="22"/>
          <w:szCs w:val="22"/>
        </w:rPr>
        <w:t>Patkányok</w:t>
      </w:r>
      <w:r w:rsidR="006C1413">
        <w:rPr>
          <w:sz w:val="22"/>
          <w:szCs w:val="22"/>
        </w:rPr>
        <w:t>nál</w:t>
      </w:r>
      <w:r w:rsidRPr="00D93A6F">
        <w:rPr>
          <w:sz w:val="22"/>
          <w:szCs w:val="22"/>
        </w:rPr>
        <w:t xml:space="preserve"> folytatott kísérletekben a fokozott farmakodinámiás hatásokon (perinatalis hypothyreosis normochrom anaemiával) túlmenően endokrinológiai, valamint neurológiai és viselkedésbeli elváltozásokat tapasztaltak az utódoknál. </w:t>
      </w:r>
    </w:p>
    <w:p w14:paraId="49B3DD84" w14:textId="77777777" w:rsidR="00C26EA2" w:rsidRPr="00D93A6F" w:rsidRDefault="00C26EA2" w:rsidP="00572AD1">
      <w:pPr>
        <w:rPr>
          <w:sz w:val="22"/>
          <w:szCs w:val="22"/>
        </w:rPr>
      </w:pPr>
    </w:p>
    <w:p w14:paraId="1445E327" w14:textId="77777777" w:rsidR="00736B52" w:rsidRPr="00D93A6F" w:rsidRDefault="00736B52" w:rsidP="00572AD1">
      <w:pPr>
        <w:rPr>
          <w:sz w:val="22"/>
          <w:szCs w:val="22"/>
        </w:rPr>
      </w:pPr>
    </w:p>
    <w:p w14:paraId="58280C9C" w14:textId="77777777" w:rsidR="00736B52" w:rsidRPr="00D93A6F" w:rsidRDefault="00736B52" w:rsidP="00572AD1">
      <w:pPr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6.</w:t>
      </w:r>
      <w:r w:rsidRPr="00D93A6F">
        <w:rPr>
          <w:b/>
          <w:bCs/>
          <w:sz w:val="22"/>
          <w:szCs w:val="22"/>
        </w:rPr>
        <w:tab/>
        <w:t>GYÓGYSZERÉSZETI JELLEMZŐK</w:t>
      </w:r>
    </w:p>
    <w:p w14:paraId="1378946A" w14:textId="77777777" w:rsidR="00736B52" w:rsidRPr="00D93A6F" w:rsidRDefault="00736B52" w:rsidP="00572AD1">
      <w:pPr>
        <w:pStyle w:val="lfej"/>
        <w:tabs>
          <w:tab w:val="clear" w:pos="4818"/>
          <w:tab w:val="clear" w:pos="9637"/>
        </w:tabs>
        <w:rPr>
          <w:sz w:val="22"/>
          <w:szCs w:val="22"/>
        </w:rPr>
      </w:pPr>
    </w:p>
    <w:p w14:paraId="13E274E3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bCs/>
          <w:sz w:val="22"/>
          <w:szCs w:val="22"/>
        </w:rPr>
        <w:t>6.1</w:t>
      </w:r>
      <w:r w:rsidRPr="00D93A6F">
        <w:rPr>
          <w:b/>
          <w:bCs/>
          <w:sz w:val="22"/>
          <w:szCs w:val="22"/>
        </w:rPr>
        <w:tab/>
      </w:r>
      <w:r w:rsidRPr="00D93A6F">
        <w:rPr>
          <w:b/>
          <w:sz w:val="22"/>
          <w:szCs w:val="22"/>
        </w:rPr>
        <w:t>Segédanyagok felsorolása</w:t>
      </w:r>
    </w:p>
    <w:p w14:paraId="71AADBCA" w14:textId="77777777" w:rsidR="00736B52" w:rsidRPr="00D93A6F" w:rsidRDefault="00736B52" w:rsidP="00572AD1">
      <w:pPr>
        <w:rPr>
          <w:sz w:val="22"/>
          <w:szCs w:val="22"/>
        </w:rPr>
      </w:pPr>
    </w:p>
    <w:p w14:paraId="42BEBE7B" w14:textId="77777777" w:rsidR="00736B52" w:rsidRPr="00D93A6F" w:rsidRDefault="005A4CAD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 xml:space="preserve">vízmentes </w:t>
      </w:r>
      <w:r w:rsidR="002522F7">
        <w:rPr>
          <w:sz w:val="22"/>
          <w:szCs w:val="22"/>
        </w:rPr>
        <w:t>k</w:t>
      </w:r>
      <w:r w:rsidR="00736B52" w:rsidRPr="00D93A6F">
        <w:rPr>
          <w:sz w:val="22"/>
          <w:szCs w:val="22"/>
        </w:rPr>
        <w:t>olloid szilícium-dioxid</w:t>
      </w:r>
    </w:p>
    <w:p w14:paraId="2A9E5651" w14:textId="77777777" w:rsidR="00736B52" w:rsidRPr="00D93A6F" w:rsidRDefault="002522F7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>m</w:t>
      </w:r>
      <w:r w:rsidR="00736B52" w:rsidRPr="00D93A6F">
        <w:rPr>
          <w:sz w:val="22"/>
          <w:szCs w:val="22"/>
        </w:rPr>
        <w:t>agnézium-sztearát</w:t>
      </w:r>
    </w:p>
    <w:p w14:paraId="17622EE8" w14:textId="77777777" w:rsidR="00736B52" w:rsidRPr="00D93A6F" w:rsidRDefault="002522F7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>p</w:t>
      </w:r>
      <w:r w:rsidR="00736B52" w:rsidRPr="00D93A6F">
        <w:rPr>
          <w:sz w:val="22"/>
          <w:szCs w:val="22"/>
        </w:rPr>
        <w:t>ovidon</w:t>
      </w:r>
    </w:p>
    <w:p w14:paraId="2CAE26B7" w14:textId="77777777" w:rsidR="00736B52" w:rsidRPr="00D93A6F" w:rsidRDefault="002522F7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>h</w:t>
      </w:r>
      <w:r w:rsidR="00736B52" w:rsidRPr="00D93A6F">
        <w:rPr>
          <w:sz w:val="22"/>
          <w:szCs w:val="22"/>
        </w:rPr>
        <w:t>idegen duzzadó kukoricakeményítő</w:t>
      </w:r>
    </w:p>
    <w:p w14:paraId="3010094E" w14:textId="77777777" w:rsidR="00736B52" w:rsidRPr="00D93A6F" w:rsidRDefault="002522F7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>k</w:t>
      </w:r>
      <w:r w:rsidR="00736B52" w:rsidRPr="00D93A6F">
        <w:rPr>
          <w:sz w:val="22"/>
          <w:szCs w:val="22"/>
        </w:rPr>
        <w:t>ukoricakeményítő</w:t>
      </w:r>
    </w:p>
    <w:p w14:paraId="7241D278" w14:textId="77777777" w:rsidR="00736B52" w:rsidRPr="00D93A6F" w:rsidRDefault="002522F7" w:rsidP="00572AD1">
      <w:pPr>
        <w:ind w:left="-15"/>
        <w:rPr>
          <w:sz w:val="22"/>
          <w:szCs w:val="22"/>
        </w:rPr>
      </w:pPr>
      <w:r>
        <w:rPr>
          <w:sz w:val="22"/>
          <w:szCs w:val="22"/>
        </w:rPr>
        <w:t>l</w:t>
      </w:r>
      <w:r w:rsidR="00736B52" w:rsidRPr="00D93A6F">
        <w:rPr>
          <w:sz w:val="22"/>
          <w:szCs w:val="22"/>
        </w:rPr>
        <w:t>aktóz-monohidrát.</w:t>
      </w:r>
    </w:p>
    <w:p w14:paraId="62343D54" w14:textId="77777777" w:rsidR="00736B52" w:rsidRPr="00D93A6F" w:rsidRDefault="00736B52" w:rsidP="00572AD1">
      <w:pPr>
        <w:rPr>
          <w:sz w:val="22"/>
          <w:szCs w:val="22"/>
        </w:rPr>
      </w:pPr>
    </w:p>
    <w:p w14:paraId="0921A38C" w14:textId="77777777" w:rsidR="00736B52" w:rsidRPr="00D93A6F" w:rsidRDefault="00736B52" w:rsidP="00572AD1">
      <w:pPr>
        <w:ind w:firstLine="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6.2</w:t>
      </w:r>
      <w:r w:rsidRPr="00D93A6F">
        <w:rPr>
          <w:b/>
          <w:sz w:val="22"/>
          <w:szCs w:val="22"/>
        </w:rPr>
        <w:tab/>
        <w:t>Inkompatibilitások</w:t>
      </w:r>
    </w:p>
    <w:p w14:paraId="6A8BF824" w14:textId="77777777" w:rsidR="00736B52" w:rsidRPr="00D93A6F" w:rsidRDefault="00736B52" w:rsidP="00572AD1">
      <w:pPr>
        <w:rPr>
          <w:sz w:val="22"/>
          <w:szCs w:val="22"/>
        </w:rPr>
      </w:pPr>
    </w:p>
    <w:p w14:paraId="16BB6575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sz w:val="22"/>
          <w:szCs w:val="22"/>
        </w:rPr>
        <w:t xml:space="preserve">Nem értelmezhető. </w:t>
      </w:r>
    </w:p>
    <w:p w14:paraId="2E2FEDF5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7FC8892C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6.3</w:t>
      </w:r>
      <w:r w:rsidRPr="00D93A6F">
        <w:rPr>
          <w:b/>
          <w:sz w:val="22"/>
          <w:szCs w:val="22"/>
        </w:rPr>
        <w:tab/>
        <w:t>Felhasználhatósági időtartam</w:t>
      </w:r>
    </w:p>
    <w:p w14:paraId="4B434D87" w14:textId="77777777" w:rsidR="00736B52" w:rsidRPr="00D93A6F" w:rsidRDefault="00736B52" w:rsidP="00572AD1">
      <w:pPr>
        <w:rPr>
          <w:sz w:val="22"/>
          <w:szCs w:val="22"/>
        </w:rPr>
      </w:pPr>
    </w:p>
    <w:p w14:paraId="70020749" w14:textId="71B43D1D" w:rsidR="00736B52" w:rsidRPr="00D93A6F" w:rsidRDefault="001F1834" w:rsidP="00572AD1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736B52" w:rsidRPr="00D93A6F">
        <w:rPr>
          <w:sz w:val="22"/>
          <w:szCs w:val="22"/>
        </w:rPr>
        <w:t xml:space="preserve"> év</w:t>
      </w:r>
      <w:r w:rsidR="00E23566" w:rsidRPr="00D93A6F">
        <w:rPr>
          <w:sz w:val="22"/>
          <w:szCs w:val="22"/>
        </w:rPr>
        <w:t>.</w:t>
      </w:r>
    </w:p>
    <w:p w14:paraId="18DE7428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291AE718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6.4</w:t>
      </w:r>
      <w:r w:rsidRPr="00D93A6F">
        <w:rPr>
          <w:b/>
          <w:sz w:val="22"/>
          <w:szCs w:val="22"/>
        </w:rPr>
        <w:tab/>
        <w:t>Különleges tárolási előírások</w:t>
      </w:r>
    </w:p>
    <w:p w14:paraId="08203EEA" w14:textId="77777777" w:rsidR="00736B52" w:rsidRPr="00D93A6F" w:rsidRDefault="00736B52" w:rsidP="00572AD1">
      <w:pPr>
        <w:rPr>
          <w:sz w:val="22"/>
          <w:szCs w:val="22"/>
        </w:rPr>
      </w:pPr>
    </w:p>
    <w:p w14:paraId="581A5D84" w14:textId="77777777" w:rsidR="00736B52" w:rsidRPr="00D93A6F" w:rsidRDefault="00736B52" w:rsidP="00572AD1">
      <w:pPr>
        <w:rPr>
          <w:b/>
          <w:sz w:val="22"/>
          <w:szCs w:val="22"/>
        </w:rPr>
      </w:pPr>
      <w:r w:rsidRPr="00D93A6F">
        <w:rPr>
          <w:sz w:val="22"/>
          <w:szCs w:val="22"/>
        </w:rPr>
        <w:t>Ez a gyógyszer nem igényel különleges tárolást.</w:t>
      </w:r>
    </w:p>
    <w:p w14:paraId="068267E0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53D7A476" w14:textId="77777777" w:rsidR="00736B52" w:rsidRPr="00D93A6F" w:rsidRDefault="00736B52" w:rsidP="00572AD1">
      <w:pPr>
        <w:ind w:left="-15"/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6.5</w:t>
      </w:r>
      <w:r w:rsidRPr="00D93A6F">
        <w:rPr>
          <w:b/>
          <w:sz w:val="22"/>
          <w:szCs w:val="22"/>
        </w:rPr>
        <w:tab/>
        <w:t>Csomagolás típusa és kiszerelése</w:t>
      </w:r>
    </w:p>
    <w:p w14:paraId="12CD2387" w14:textId="77777777" w:rsidR="00736B52" w:rsidRPr="00D93A6F" w:rsidRDefault="00736B52" w:rsidP="00572AD1">
      <w:pPr>
        <w:ind w:left="-15"/>
        <w:rPr>
          <w:b/>
          <w:bCs/>
          <w:sz w:val="22"/>
          <w:szCs w:val="22"/>
        </w:rPr>
      </w:pPr>
    </w:p>
    <w:p w14:paraId="62D8B1A8" w14:textId="4F75B165" w:rsidR="00736B52" w:rsidRPr="00D93A6F" w:rsidRDefault="00736B52" w:rsidP="00572AD1">
      <w:pPr>
        <w:ind w:left="-15"/>
        <w:rPr>
          <w:sz w:val="22"/>
          <w:szCs w:val="22"/>
        </w:rPr>
      </w:pPr>
      <w:r w:rsidRPr="00D93A6F">
        <w:rPr>
          <w:sz w:val="22"/>
          <w:szCs w:val="22"/>
        </w:rPr>
        <w:t xml:space="preserve">100 db </w:t>
      </w:r>
      <w:r w:rsidR="00E61142">
        <w:rPr>
          <w:sz w:val="22"/>
          <w:szCs w:val="22"/>
        </w:rPr>
        <w:t xml:space="preserve">vagy 20 db </w:t>
      </w:r>
      <w:r w:rsidRPr="00D93A6F">
        <w:rPr>
          <w:sz w:val="22"/>
          <w:szCs w:val="22"/>
        </w:rPr>
        <w:t>tabletta csavaros, műanyag biztonsági kupakkal ellátott üvegtartályban és dobozban.</w:t>
      </w:r>
    </w:p>
    <w:p w14:paraId="2E245C0A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43EBB596" w14:textId="77777777" w:rsidR="002B063C" w:rsidRPr="00D93A6F" w:rsidRDefault="00736B52" w:rsidP="00572AD1">
      <w:pPr>
        <w:ind w:left="567" w:hanging="567"/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6.6</w:t>
      </w:r>
      <w:r w:rsidRPr="00D93A6F">
        <w:rPr>
          <w:b/>
          <w:bCs/>
          <w:sz w:val="22"/>
          <w:szCs w:val="22"/>
        </w:rPr>
        <w:tab/>
      </w:r>
      <w:r w:rsidRPr="00D93A6F">
        <w:rPr>
          <w:b/>
          <w:sz w:val="22"/>
          <w:szCs w:val="22"/>
        </w:rPr>
        <w:t>A megsemmisítésre vonatkozó különleges óvintézkedések</w:t>
      </w:r>
      <w:r w:rsidR="002B063C" w:rsidRPr="00D93A6F">
        <w:rPr>
          <w:b/>
          <w:sz w:val="22"/>
          <w:szCs w:val="22"/>
        </w:rPr>
        <w:t xml:space="preserve"> és egyéb, a készítmény kezelésével kapcsolatos információk</w:t>
      </w:r>
    </w:p>
    <w:p w14:paraId="44A2200C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1AB43D0F" w14:textId="77777777" w:rsidR="002B063C" w:rsidRPr="00D93A6F" w:rsidRDefault="002B063C" w:rsidP="00572AD1">
      <w:pPr>
        <w:rPr>
          <w:bCs/>
          <w:sz w:val="22"/>
          <w:szCs w:val="22"/>
        </w:rPr>
      </w:pPr>
      <w:r w:rsidRPr="00D93A6F">
        <w:rPr>
          <w:bCs/>
          <w:sz w:val="22"/>
          <w:szCs w:val="22"/>
        </w:rPr>
        <w:t xml:space="preserve">Bármilyen fel nem használt </w:t>
      </w:r>
      <w:r w:rsidR="00BB3F4E">
        <w:rPr>
          <w:bCs/>
          <w:sz w:val="22"/>
          <w:szCs w:val="22"/>
        </w:rPr>
        <w:t>gyógyszer</w:t>
      </w:r>
      <w:r w:rsidRPr="00D93A6F">
        <w:rPr>
          <w:bCs/>
          <w:sz w:val="22"/>
          <w:szCs w:val="22"/>
        </w:rPr>
        <w:t xml:space="preserve">, illetve hulladékanyag megsemmisítését a </w:t>
      </w:r>
      <w:r w:rsidR="00BB3F4E">
        <w:rPr>
          <w:bCs/>
          <w:sz w:val="22"/>
          <w:szCs w:val="22"/>
        </w:rPr>
        <w:t xml:space="preserve">gyógyszerekre vonatkozó </w:t>
      </w:r>
      <w:r w:rsidRPr="00D93A6F">
        <w:rPr>
          <w:bCs/>
          <w:sz w:val="22"/>
          <w:szCs w:val="22"/>
        </w:rPr>
        <w:t>előírások szerint kell végrehajtani.</w:t>
      </w:r>
    </w:p>
    <w:p w14:paraId="0F9733FB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36B1DB42" w14:textId="77777777" w:rsidR="00736B52" w:rsidRPr="00D93A6F" w:rsidRDefault="00736B52" w:rsidP="00572AD1">
      <w:pPr>
        <w:rPr>
          <w:sz w:val="22"/>
          <w:szCs w:val="22"/>
        </w:rPr>
      </w:pPr>
      <w:r w:rsidRPr="00D93A6F">
        <w:rPr>
          <w:b/>
          <w:bCs/>
          <w:sz w:val="22"/>
          <w:szCs w:val="22"/>
        </w:rPr>
        <w:t xml:space="preserve">Megjegyzés: </w:t>
      </w:r>
      <w:r w:rsidR="00E23566" w:rsidRPr="00D93A6F">
        <w:rPr>
          <w:sz w:val="22"/>
          <w:szCs w:val="22"/>
        </w:rPr>
        <w:sym w:font="Wingdings" w:char="F058"/>
      </w:r>
      <w:r w:rsidR="00E23566" w:rsidRPr="00D93A6F">
        <w:rPr>
          <w:sz w:val="22"/>
          <w:szCs w:val="22"/>
        </w:rPr>
        <w:t xml:space="preserve"> </w:t>
      </w:r>
      <w:r w:rsidRPr="00D93A6F">
        <w:rPr>
          <w:sz w:val="22"/>
          <w:szCs w:val="22"/>
        </w:rPr>
        <w:t>(egy kereszt)</w:t>
      </w:r>
    </w:p>
    <w:p w14:paraId="603539DB" w14:textId="77777777" w:rsidR="00736B52" w:rsidRPr="00D93A6F" w:rsidRDefault="00736B52" w:rsidP="00572AD1">
      <w:pPr>
        <w:tabs>
          <w:tab w:val="left" w:pos="330"/>
        </w:tabs>
        <w:rPr>
          <w:b/>
          <w:sz w:val="22"/>
          <w:szCs w:val="22"/>
        </w:rPr>
      </w:pPr>
      <w:r w:rsidRPr="00D93A6F">
        <w:rPr>
          <w:b/>
          <w:sz w:val="22"/>
          <w:szCs w:val="22"/>
        </w:rPr>
        <w:t>Osztályozás:</w:t>
      </w:r>
      <w:r w:rsidRPr="00D93A6F">
        <w:rPr>
          <w:sz w:val="22"/>
          <w:szCs w:val="22"/>
        </w:rPr>
        <w:t xml:space="preserve"> </w:t>
      </w:r>
      <w:r w:rsidRPr="00D93A6F">
        <w:rPr>
          <w:b/>
          <w:sz w:val="22"/>
          <w:szCs w:val="22"/>
        </w:rPr>
        <w:t>II. csoport</w:t>
      </w:r>
    </w:p>
    <w:p w14:paraId="74F98050" w14:textId="77777777" w:rsidR="00736B52" w:rsidRPr="00D93A6F" w:rsidRDefault="00736B52" w:rsidP="00572AD1">
      <w:pPr>
        <w:tabs>
          <w:tab w:val="left" w:pos="330"/>
        </w:tabs>
        <w:rPr>
          <w:sz w:val="22"/>
          <w:szCs w:val="22"/>
        </w:rPr>
      </w:pPr>
      <w:r w:rsidRPr="00D93A6F">
        <w:rPr>
          <w:sz w:val="22"/>
          <w:szCs w:val="22"/>
        </w:rPr>
        <w:t>Kizárólag orvosi rendelvényhez kötött gyógyszer (V).</w:t>
      </w:r>
    </w:p>
    <w:p w14:paraId="22BC83A3" w14:textId="77777777" w:rsidR="00736B52" w:rsidRPr="00D93A6F" w:rsidRDefault="00736B52" w:rsidP="00572AD1">
      <w:pPr>
        <w:rPr>
          <w:sz w:val="22"/>
          <w:szCs w:val="22"/>
        </w:rPr>
      </w:pPr>
    </w:p>
    <w:p w14:paraId="3512C062" w14:textId="77777777" w:rsidR="00736B52" w:rsidRPr="00D93A6F" w:rsidRDefault="00736B52" w:rsidP="00572AD1">
      <w:pPr>
        <w:rPr>
          <w:sz w:val="22"/>
          <w:szCs w:val="22"/>
        </w:rPr>
      </w:pPr>
    </w:p>
    <w:p w14:paraId="2B6B43F9" w14:textId="77777777" w:rsidR="00736B52" w:rsidRPr="00D93A6F" w:rsidRDefault="00736B52" w:rsidP="00572AD1">
      <w:pPr>
        <w:tabs>
          <w:tab w:val="left" w:pos="567"/>
        </w:tabs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7.</w:t>
      </w:r>
      <w:r w:rsidRPr="00D93A6F">
        <w:rPr>
          <w:b/>
          <w:bCs/>
          <w:sz w:val="22"/>
          <w:szCs w:val="22"/>
        </w:rPr>
        <w:tab/>
        <w:t>A FORGALOMBA HOZATALI ENGEDÉLY JOGOSULTJA</w:t>
      </w:r>
    </w:p>
    <w:p w14:paraId="4D1B6F2A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30847194" w14:textId="77777777" w:rsidR="00736B52" w:rsidRPr="00D93A6F" w:rsidRDefault="00736B52" w:rsidP="00B46EDC">
      <w:pPr>
        <w:rPr>
          <w:bCs/>
          <w:sz w:val="22"/>
          <w:szCs w:val="22"/>
        </w:rPr>
      </w:pPr>
      <w:r w:rsidRPr="00D93A6F">
        <w:rPr>
          <w:bCs/>
          <w:sz w:val="22"/>
          <w:szCs w:val="22"/>
        </w:rPr>
        <w:t>ADMEDA Arzneimittel GmbH</w:t>
      </w:r>
    </w:p>
    <w:p w14:paraId="5EF46A5D" w14:textId="77777777" w:rsidR="00AD6B4B" w:rsidRPr="00AD6B4B" w:rsidRDefault="00AD6B4B" w:rsidP="00AD6B4B">
      <w:pPr>
        <w:widowControl/>
        <w:suppressAutoHyphens w:val="0"/>
        <w:autoSpaceDE w:val="0"/>
        <w:autoSpaceDN w:val="0"/>
        <w:adjustRightInd w:val="0"/>
        <w:rPr>
          <w:bCs/>
          <w:sz w:val="22"/>
          <w:szCs w:val="22"/>
          <w:lang w:val="en-US"/>
        </w:rPr>
      </w:pPr>
      <w:r w:rsidRPr="00AD6B4B">
        <w:rPr>
          <w:bCs/>
          <w:sz w:val="22"/>
          <w:szCs w:val="22"/>
          <w:lang w:val="en-US"/>
        </w:rPr>
        <w:t>Lademannbogen 41</w:t>
      </w:r>
    </w:p>
    <w:p w14:paraId="26EA8DCC" w14:textId="77777777" w:rsidR="004F7D12" w:rsidRDefault="00AD6B4B" w:rsidP="00572AD1">
      <w:pPr>
        <w:rPr>
          <w:bCs/>
          <w:sz w:val="22"/>
          <w:szCs w:val="22"/>
        </w:rPr>
      </w:pPr>
      <w:r w:rsidRPr="00AD6B4B">
        <w:rPr>
          <w:bCs/>
          <w:sz w:val="22"/>
          <w:szCs w:val="22"/>
          <w:lang w:val="en-US"/>
        </w:rPr>
        <w:t>22339 Hamburg</w:t>
      </w:r>
    </w:p>
    <w:p w14:paraId="6F6EC349" w14:textId="77777777" w:rsidR="00736B52" w:rsidRPr="00D93A6F" w:rsidRDefault="00736B52" w:rsidP="00572AD1">
      <w:pPr>
        <w:rPr>
          <w:bCs/>
          <w:sz w:val="22"/>
          <w:szCs w:val="22"/>
        </w:rPr>
      </w:pPr>
      <w:r w:rsidRPr="00D93A6F">
        <w:rPr>
          <w:bCs/>
          <w:sz w:val="22"/>
          <w:szCs w:val="22"/>
        </w:rPr>
        <w:t>Németország</w:t>
      </w:r>
    </w:p>
    <w:p w14:paraId="0746C541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4109FA4C" w14:textId="77777777" w:rsidR="00736B52" w:rsidRPr="00D93A6F" w:rsidRDefault="00736B52" w:rsidP="00572AD1">
      <w:pPr>
        <w:rPr>
          <w:bCs/>
          <w:sz w:val="22"/>
          <w:szCs w:val="22"/>
        </w:rPr>
      </w:pPr>
    </w:p>
    <w:p w14:paraId="36D40B7A" w14:textId="77777777" w:rsidR="00736B52" w:rsidRPr="00D93A6F" w:rsidRDefault="00736B52" w:rsidP="00572AD1">
      <w:pPr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8.</w:t>
      </w:r>
      <w:r w:rsidRPr="00D93A6F">
        <w:rPr>
          <w:b/>
          <w:bCs/>
          <w:sz w:val="22"/>
          <w:szCs w:val="22"/>
        </w:rPr>
        <w:tab/>
        <w:t>A FORGALOMBA HOZATALI ENGEDÉLY SZÁMA</w:t>
      </w:r>
    </w:p>
    <w:p w14:paraId="7FC9274D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61631A09" w14:textId="77777777" w:rsidR="00145025" w:rsidRPr="00D93A6F" w:rsidRDefault="00145025" w:rsidP="00145025">
      <w:pPr>
        <w:rPr>
          <w:sz w:val="22"/>
          <w:szCs w:val="22"/>
        </w:rPr>
      </w:pPr>
      <w:r w:rsidRPr="00D93A6F">
        <w:rPr>
          <w:sz w:val="22"/>
          <w:szCs w:val="22"/>
        </w:rPr>
        <w:t>OGYI-T-1510/01</w:t>
      </w:r>
      <w:r>
        <w:rPr>
          <w:sz w:val="22"/>
          <w:szCs w:val="22"/>
        </w:rPr>
        <w:t xml:space="preserve"> (100 db)</w:t>
      </w:r>
    </w:p>
    <w:p w14:paraId="31EAA87B" w14:textId="77777777" w:rsidR="00145025" w:rsidRPr="00D93A6F" w:rsidRDefault="00145025" w:rsidP="00145025">
      <w:pPr>
        <w:rPr>
          <w:sz w:val="22"/>
          <w:szCs w:val="22"/>
        </w:rPr>
      </w:pPr>
      <w:r w:rsidRPr="00D93A6F">
        <w:rPr>
          <w:sz w:val="22"/>
          <w:szCs w:val="22"/>
        </w:rPr>
        <w:t>OGYI-T-1510/0</w:t>
      </w:r>
      <w:r>
        <w:rPr>
          <w:sz w:val="22"/>
          <w:szCs w:val="22"/>
        </w:rPr>
        <w:t>2 (20 db)</w:t>
      </w:r>
    </w:p>
    <w:p w14:paraId="055FC61B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463F9A07" w14:textId="77777777" w:rsidR="00736B52" w:rsidRPr="00D93A6F" w:rsidRDefault="00736B52" w:rsidP="00572AD1">
      <w:pPr>
        <w:rPr>
          <w:b/>
          <w:sz w:val="22"/>
          <w:szCs w:val="22"/>
        </w:rPr>
      </w:pPr>
    </w:p>
    <w:p w14:paraId="1104DC6E" w14:textId="77777777" w:rsidR="00736B52" w:rsidRPr="00D93A6F" w:rsidRDefault="00736B52" w:rsidP="00FC5D25">
      <w:pPr>
        <w:keepNext/>
        <w:keepLines/>
        <w:ind w:left="567" w:hanging="567"/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9.</w:t>
      </w:r>
      <w:r w:rsidRPr="00D93A6F">
        <w:rPr>
          <w:b/>
          <w:bCs/>
          <w:sz w:val="22"/>
          <w:szCs w:val="22"/>
        </w:rPr>
        <w:tab/>
        <w:t xml:space="preserve">A FORGALOMBA HOZATALI ENGEDÉLY </w:t>
      </w:r>
      <w:r w:rsidR="00D93A6F">
        <w:rPr>
          <w:b/>
          <w:bCs/>
          <w:sz w:val="22"/>
          <w:szCs w:val="22"/>
        </w:rPr>
        <w:t xml:space="preserve">ELSŐ </w:t>
      </w:r>
      <w:r w:rsidRPr="00D93A6F">
        <w:rPr>
          <w:b/>
          <w:bCs/>
          <w:sz w:val="22"/>
          <w:szCs w:val="22"/>
        </w:rPr>
        <w:t>KIADÁSÁNAK/ MEGÚJÍTÁSÁNAK DÁTUMA</w:t>
      </w:r>
    </w:p>
    <w:p w14:paraId="0289324B" w14:textId="77777777" w:rsidR="00736B52" w:rsidRPr="00D93A6F" w:rsidRDefault="00736B52" w:rsidP="00FC5D25">
      <w:pPr>
        <w:keepNext/>
        <w:keepLines/>
        <w:rPr>
          <w:b/>
          <w:bCs/>
          <w:sz w:val="22"/>
          <w:szCs w:val="22"/>
        </w:rPr>
      </w:pPr>
    </w:p>
    <w:p w14:paraId="645B21EA" w14:textId="77777777" w:rsidR="00FC5D25" w:rsidRPr="00D93A6F" w:rsidRDefault="00FC5D25" w:rsidP="00FC5D25">
      <w:pPr>
        <w:keepNext/>
        <w:keepLines/>
        <w:rPr>
          <w:sz w:val="22"/>
          <w:szCs w:val="22"/>
        </w:rPr>
      </w:pPr>
      <w:r w:rsidRPr="00D93A6F">
        <w:rPr>
          <w:sz w:val="22"/>
          <w:szCs w:val="22"/>
        </w:rPr>
        <w:t xml:space="preserve">A forgalomba hozatali engedély első kiadásának dátuma: </w:t>
      </w:r>
      <w:r w:rsidR="00736B52" w:rsidRPr="00D93A6F">
        <w:rPr>
          <w:sz w:val="22"/>
          <w:szCs w:val="22"/>
        </w:rPr>
        <w:t>1990. július 4.</w:t>
      </w:r>
    </w:p>
    <w:p w14:paraId="1730F078" w14:textId="77777777" w:rsidR="00736B52" w:rsidRPr="00D93A6F" w:rsidRDefault="00FC5D25" w:rsidP="00FC5D25">
      <w:pPr>
        <w:keepNext/>
        <w:keepLines/>
        <w:rPr>
          <w:sz w:val="22"/>
          <w:szCs w:val="22"/>
        </w:rPr>
      </w:pPr>
      <w:r w:rsidRPr="00D93A6F">
        <w:rPr>
          <w:sz w:val="22"/>
          <w:szCs w:val="22"/>
        </w:rPr>
        <w:t xml:space="preserve">A forgalomba hozatali engedély legutóbbi megújításának dátuma </w:t>
      </w:r>
      <w:r w:rsidR="00736B52" w:rsidRPr="00D93A6F">
        <w:rPr>
          <w:sz w:val="22"/>
          <w:szCs w:val="22"/>
        </w:rPr>
        <w:t>2009. április</w:t>
      </w:r>
      <w:r w:rsidR="000603C0" w:rsidRPr="00D93A6F">
        <w:rPr>
          <w:sz w:val="22"/>
          <w:szCs w:val="22"/>
        </w:rPr>
        <w:t xml:space="preserve"> 2</w:t>
      </w:r>
      <w:r w:rsidR="004106BE" w:rsidRPr="00D93A6F">
        <w:rPr>
          <w:sz w:val="22"/>
          <w:szCs w:val="22"/>
        </w:rPr>
        <w:t>7</w:t>
      </w:r>
      <w:r w:rsidR="000603C0" w:rsidRPr="00D93A6F">
        <w:rPr>
          <w:sz w:val="22"/>
          <w:szCs w:val="22"/>
        </w:rPr>
        <w:t>.</w:t>
      </w:r>
    </w:p>
    <w:p w14:paraId="4B85E9A2" w14:textId="77777777" w:rsidR="00736B52" w:rsidRPr="00D93A6F" w:rsidRDefault="00736B52" w:rsidP="00572AD1">
      <w:pPr>
        <w:rPr>
          <w:b/>
          <w:bCs/>
          <w:sz w:val="22"/>
          <w:szCs w:val="22"/>
        </w:rPr>
      </w:pPr>
    </w:p>
    <w:p w14:paraId="6B60D4F9" w14:textId="77777777" w:rsidR="00C26EA2" w:rsidRPr="00D93A6F" w:rsidRDefault="00C26EA2" w:rsidP="00572AD1">
      <w:pPr>
        <w:rPr>
          <w:b/>
          <w:bCs/>
          <w:sz w:val="22"/>
          <w:szCs w:val="22"/>
        </w:rPr>
      </w:pPr>
    </w:p>
    <w:p w14:paraId="7CD74E96" w14:textId="77777777" w:rsidR="00736B52" w:rsidRPr="00D93A6F" w:rsidRDefault="00736B52" w:rsidP="00572AD1">
      <w:pPr>
        <w:rPr>
          <w:b/>
          <w:bCs/>
          <w:sz w:val="22"/>
          <w:szCs w:val="22"/>
        </w:rPr>
      </w:pPr>
      <w:r w:rsidRPr="00D93A6F">
        <w:rPr>
          <w:b/>
          <w:bCs/>
          <w:sz w:val="22"/>
          <w:szCs w:val="22"/>
        </w:rPr>
        <w:t>10.</w:t>
      </w:r>
      <w:r w:rsidRPr="00D93A6F">
        <w:rPr>
          <w:b/>
          <w:bCs/>
          <w:sz w:val="22"/>
          <w:szCs w:val="22"/>
        </w:rPr>
        <w:tab/>
        <w:t>A SZÖVEG ELLENŐRZÉSÉNEK DÁTUMA</w:t>
      </w:r>
    </w:p>
    <w:p w14:paraId="75729EB0" w14:textId="08D675E7" w:rsidR="0067624E" w:rsidRDefault="0067624E" w:rsidP="00572AD1">
      <w:pPr>
        <w:rPr>
          <w:sz w:val="22"/>
          <w:szCs w:val="22"/>
        </w:rPr>
      </w:pPr>
    </w:p>
    <w:p w14:paraId="673C093C" w14:textId="40579ACA" w:rsidR="00736B52" w:rsidRPr="00D93A6F" w:rsidRDefault="00BC298C" w:rsidP="00572AD1">
      <w:pPr>
        <w:rPr>
          <w:sz w:val="22"/>
          <w:szCs w:val="22"/>
        </w:rPr>
      </w:pPr>
      <w:r>
        <w:rPr>
          <w:sz w:val="22"/>
          <w:szCs w:val="22"/>
        </w:rPr>
        <w:t>2026. január 30.</w:t>
      </w:r>
    </w:p>
    <w:sectPr w:rsidR="00736B52" w:rsidRPr="00D93A6F" w:rsidSect="00E533D7">
      <w:head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14C78E6" w16cex:dateUtc="2026-01-21T12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99CC59" w16cid:durableId="514C78E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DE458" w14:textId="77777777" w:rsidR="00F95229" w:rsidRDefault="00F95229">
      <w:r>
        <w:separator/>
      </w:r>
    </w:p>
  </w:endnote>
  <w:endnote w:type="continuationSeparator" w:id="0">
    <w:p w14:paraId="63C7D026" w14:textId="77777777" w:rsidR="00F95229" w:rsidRDefault="00F95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StarSymbol">
    <w:altName w:val="Segoe UI Symbol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1E85E" w14:textId="0E6FDA1D" w:rsidR="00611131" w:rsidRDefault="00BC298C">
    <w:pPr>
      <w:pStyle w:val="llb"/>
      <w:rPr>
        <w:sz w:val="18"/>
        <w:szCs w:val="18"/>
      </w:rPr>
    </w:pPr>
    <w:r w:rsidRPr="00BC298C">
      <w:rPr>
        <w:sz w:val="18"/>
        <w:szCs w:val="18"/>
      </w:rPr>
      <w:t>NNGYK/ETGY/4225/2026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6706F" w14:textId="77777777" w:rsidR="00F95229" w:rsidRDefault="00F95229">
      <w:r>
        <w:separator/>
      </w:r>
    </w:p>
  </w:footnote>
  <w:footnote w:type="continuationSeparator" w:id="0">
    <w:p w14:paraId="332285BC" w14:textId="77777777" w:rsidR="00F95229" w:rsidRDefault="00F95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C6875" w14:textId="74408536" w:rsidR="00611131" w:rsidRPr="00D9540D" w:rsidRDefault="00611131">
    <w:pPr>
      <w:pStyle w:val="lfej"/>
      <w:jc w:val="center"/>
      <w:rPr>
        <w:sz w:val="18"/>
        <w:szCs w:val="18"/>
      </w:rPr>
    </w:pPr>
    <w:r w:rsidRPr="00D9540D">
      <w:rPr>
        <w:sz w:val="18"/>
        <w:szCs w:val="18"/>
      </w:rPr>
      <w:fldChar w:fldCharType="begin"/>
    </w:r>
    <w:r w:rsidRPr="00D9540D">
      <w:rPr>
        <w:sz w:val="18"/>
        <w:szCs w:val="18"/>
      </w:rPr>
      <w:instrText xml:space="preserve"> PAGE \*ARABIC </w:instrText>
    </w:r>
    <w:r w:rsidRPr="00D9540D">
      <w:rPr>
        <w:sz w:val="18"/>
        <w:szCs w:val="18"/>
      </w:rPr>
      <w:fldChar w:fldCharType="separate"/>
    </w:r>
    <w:r w:rsidR="00A9317C">
      <w:rPr>
        <w:noProof/>
        <w:sz w:val="18"/>
        <w:szCs w:val="18"/>
      </w:rPr>
      <w:t>9</w:t>
    </w:r>
    <w:r w:rsidRPr="00D9540D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A46B0" w14:textId="77777777" w:rsidR="00611131" w:rsidRDefault="00611131">
    <w:pPr>
      <w:tabs>
        <w:tab w:val="center" w:pos="1843"/>
        <w:tab w:val="left" w:pos="3645"/>
        <w:tab w:val="left" w:pos="5940"/>
        <w:tab w:val="left" w:pos="619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FC7AD5"/>
    <w:multiLevelType w:val="hybridMultilevel"/>
    <w:tmpl w:val="164EF5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C0"/>
    <w:rsid w:val="00010FAF"/>
    <w:rsid w:val="00014514"/>
    <w:rsid w:val="00017270"/>
    <w:rsid w:val="000324C2"/>
    <w:rsid w:val="00034576"/>
    <w:rsid w:val="00046112"/>
    <w:rsid w:val="000559A3"/>
    <w:rsid w:val="000603C0"/>
    <w:rsid w:val="000730F6"/>
    <w:rsid w:val="00081D01"/>
    <w:rsid w:val="000A372D"/>
    <w:rsid w:val="000A56F6"/>
    <w:rsid w:val="000C6F14"/>
    <w:rsid w:val="000D7354"/>
    <w:rsid w:val="000E4D49"/>
    <w:rsid w:val="000F0D59"/>
    <w:rsid w:val="001010F2"/>
    <w:rsid w:val="001136C2"/>
    <w:rsid w:val="00145025"/>
    <w:rsid w:val="00195EEF"/>
    <w:rsid w:val="001A56DB"/>
    <w:rsid w:val="001E55BE"/>
    <w:rsid w:val="001F1834"/>
    <w:rsid w:val="001F3115"/>
    <w:rsid w:val="0021251C"/>
    <w:rsid w:val="00220182"/>
    <w:rsid w:val="0022799C"/>
    <w:rsid w:val="00236A70"/>
    <w:rsid w:val="00246BFB"/>
    <w:rsid w:val="002522F7"/>
    <w:rsid w:val="0026330B"/>
    <w:rsid w:val="00270A34"/>
    <w:rsid w:val="00280697"/>
    <w:rsid w:val="002814E8"/>
    <w:rsid w:val="00292083"/>
    <w:rsid w:val="0029729F"/>
    <w:rsid w:val="002A5B4A"/>
    <w:rsid w:val="002B063C"/>
    <w:rsid w:val="002B11CC"/>
    <w:rsid w:val="002C04FD"/>
    <w:rsid w:val="002D5871"/>
    <w:rsid w:val="002F1482"/>
    <w:rsid w:val="003403A8"/>
    <w:rsid w:val="00341880"/>
    <w:rsid w:val="0034751C"/>
    <w:rsid w:val="00373209"/>
    <w:rsid w:val="003841B6"/>
    <w:rsid w:val="003B27CE"/>
    <w:rsid w:val="003C3B36"/>
    <w:rsid w:val="003F7008"/>
    <w:rsid w:val="004106BE"/>
    <w:rsid w:val="0042502E"/>
    <w:rsid w:val="00430708"/>
    <w:rsid w:val="00431907"/>
    <w:rsid w:val="00471449"/>
    <w:rsid w:val="0049147C"/>
    <w:rsid w:val="004A04BA"/>
    <w:rsid w:val="004A15A2"/>
    <w:rsid w:val="004B34AF"/>
    <w:rsid w:val="004C1E71"/>
    <w:rsid w:val="004F7D12"/>
    <w:rsid w:val="00500500"/>
    <w:rsid w:val="0052422F"/>
    <w:rsid w:val="00526D5E"/>
    <w:rsid w:val="005441A5"/>
    <w:rsid w:val="005517BC"/>
    <w:rsid w:val="005551F5"/>
    <w:rsid w:val="00570366"/>
    <w:rsid w:val="00572AD1"/>
    <w:rsid w:val="00576263"/>
    <w:rsid w:val="005A23DE"/>
    <w:rsid w:val="005A4CAD"/>
    <w:rsid w:val="005F2AE9"/>
    <w:rsid w:val="0060228F"/>
    <w:rsid w:val="00611131"/>
    <w:rsid w:val="00614576"/>
    <w:rsid w:val="00632407"/>
    <w:rsid w:val="0063727F"/>
    <w:rsid w:val="006373E5"/>
    <w:rsid w:val="006510EE"/>
    <w:rsid w:val="0066501F"/>
    <w:rsid w:val="00665E24"/>
    <w:rsid w:val="0067624E"/>
    <w:rsid w:val="00687656"/>
    <w:rsid w:val="006915CD"/>
    <w:rsid w:val="006B3E76"/>
    <w:rsid w:val="006C1413"/>
    <w:rsid w:val="006D47EF"/>
    <w:rsid w:val="006E6211"/>
    <w:rsid w:val="00714FCB"/>
    <w:rsid w:val="00736B52"/>
    <w:rsid w:val="00743B08"/>
    <w:rsid w:val="007522D5"/>
    <w:rsid w:val="007560D2"/>
    <w:rsid w:val="007B104D"/>
    <w:rsid w:val="007B224E"/>
    <w:rsid w:val="007C2F1A"/>
    <w:rsid w:val="007D03F3"/>
    <w:rsid w:val="007E202F"/>
    <w:rsid w:val="007E2809"/>
    <w:rsid w:val="007F53C1"/>
    <w:rsid w:val="00805C5C"/>
    <w:rsid w:val="00822CA5"/>
    <w:rsid w:val="008241DF"/>
    <w:rsid w:val="00847381"/>
    <w:rsid w:val="00854228"/>
    <w:rsid w:val="00855ACA"/>
    <w:rsid w:val="008764CE"/>
    <w:rsid w:val="008776F3"/>
    <w:rsid w:val="008D0ED7"/>
    <w:rsid w:val="008D763D"/>
    <w:rsid w:val="008E1CEE"/>
    <w:rsid w:val="008E5398"/>
    <w:rsid w:val="008E573B"/>
    <w:rsid w:val="008E5B78"/>
    <w:rsid w:val="009013AF"/>
    <w:rsid w:val="00901719"/>
    <w:rsid w:val="00902FD1"/>
    <w:rsid w:val="00903562"/>
    <w:rsid w:val="0090672C"/>
    <w:rsid w:val="00926D8D"/>
    <w:rsid w:val="0093099A"/>
    <w:rsid w:val="009338F3"/>
    <w:rsid w:val="00956A66"/>
    <w:rsid w:val="00956D73"/>
    <w:rsid w:val="00964318"/>
    <w:rsid w:val="00964D27"/>
    <w:rsid w:val="009803FF"/>
    <w:rsid w:val="00982F6E"/>
    <w:rsid w:val="009934E7"/>
    <w:rsid w:val="00994527"/>
    <w:rsid w:val="009A0E44"/>
    <w:rsid w:val="009A77A7"/>
    <w:rsid w:val="009C2E21"/>
    <w:rsid w:val="009E59B0"/>
    <w:rsid w:val="009F2E81"/>
    <w:rsid w:val="00A154DE"/>
    <w:rsid w:val="00A52FCC"/>
    <w:rsid w:val="00A62D2B"/>
    <w:rsid w:val="00A92871"/>
    <w:rsid w:val="00A9317C"/>
    <w:rsid w:val="00AA016E"/>
    <w:rsid w:val="00AA374D"/>
    <w:rsid w:val="00AA6481"/>
    <w:rsid w:val="00AB4865"/>
    <w:rsid w:val="00AC3908"/>
    <w:rsid w:val="00AD3CB1"/>
    <w:rsid w:val="00AD6B4B"/>
    <w:rsid w:val="00AE3AE4"/>
    <w:rsid w:val="00B0242F"/>
    <w:rsid w:val="00B151C4"/>
    <w:rsid w:val="00B4044C"/>
    <w:rsid w:val="00B46EDC"/>
    <w:rsid w:val="00B750DD"/>
    <w:rsid w:val="00B75227"/>
    <w:rsid w:val="00B930F9"/>
    <w:rsid w:val="00B9663A"/>
    <w:rsid w:val="00BB3EA8"/>
    <w:rsid w:val="00BB3F4E"/>
    <w:rsid w:val="00BC298C"/>
    <w:rsid w:val="00BD5DC5"/>
    <w:rsid w:val="00BF1F79"/>
    <w:rsid w:val="00BF54AE"/>
    <w:rsid w:val="00BF7F7F"/>
    <w:rsid w:val="00C24C67"/>
    <w:rsid w:val="00C26EA2"/>
    <w:rsid w:val="00C3093E"/>
    <w:rsid w:val="00C775F9"/>
    <w:rsid w:val="00CD3A80"/>
    <w:rsid w:val="00D12C7B"/>
    <w:rsid w:val="00D170CE"/>
    <w:rsid w:val="00D57935"/>
    <w:rsid w:val="00D604F4"/>
    <w:rsid w:val="00D6388D"/>
    <w:rsid w:val="00D65B87"/>
    <w:rsid w:val="00D75FAD"/>
    <w:rsid w:val="00D76ABB"/>
    <w:rsid w:val="00D93A6F"/>
    <w:rsid w:val="00D9540D"/>
    <w:rsid w:val="00DD292B"/>
    <w:rsid w:val="00DD488E"/>
    <w:rsid w:val="00DE07D9"/>
    <w:rsid w:val="00DF0A85"/>
    <w:rsid w:val="00DF44A5"/>
    <w:rsid w:val="00E053C9"/>
    <w:rsid w:val="00E23566"/>
    <w:rsid w:val="00E23BB7"/>
    <w:rsid w:val="00E40CE4"/>
    <w:rsid w:val="00E46EC8"/>
    <w:rsid w:val="00E533D7"/>
    <w:rsid w:val="00E61142"/>
    <w:rsid w:val="00E64027"/>
    <w:rsid w:val="00E96056"/>
    <w:rsid w:val="00EC0F5D"/>
    <w:rsid w:val="00EC1A66"/>
    <w:rsid w:val="00EC49B5"/>
    <w:rsid w:val="00ED1E3D"/>
    <w:rsid w:val="00F34F53"/>
    <w:rsid w:val="00F469AA"/>
    <w:rsid w:val="00F46D67"/>
    <w:rsid w:val="00F5254A"/>
    <w:rsid w:val="00F612CA"/>
    <w:rsid w:val="00F95229"/>
    <w:rsid w:val="00FB2C65"/>
    <w:rsid w:val="00FC3692"/>
    <w:rsid w:val="00FC5D25"/>
    <w:rsid w:val="00FD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C077"/>
  <w15:chartTrackingRefBased/>
  <w15:docId w15:val="{7E17259A-A151-4CED-AB77-87EC5199E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styleId="Szvegtrzselssora">
    <w:name w:val="Body Text First Indent"/>
    <w:basedOn w:val="Szvegtrzs"/>
    <w:pPr>
      <w:ind w:firstLine="283"/>
    </w:p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customStyle="1" w:styleId="WW-Szvegtrzsbehzssal2">
    <w:name w:val="WW-Szövegtörzs behúzással 2"/>
    <w:basedOn w:val="Norml"/>
    <w:pPr>
      <w:ind w:left="1008"/>
    </w:pPr>
    <w:rPr>
      <w:bCs/>
    </w:rPr>
  </w:style>
  <w:style w:type="paragraph" w:customStyle="1" w:styleId="WW-Szvegtrzsbehzssal3">
    <w:name w:val="WW-Szövegtörzs behúzással 3"/>
    <w:basedOn w:val="Norml"/>
    <w:pPr>
      <w:ind w:left="1125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customStyle="1" w:styleId="mw-headline">
    <w:name w:val="mw-headline"/>
    <w:rsid w:val="000E4D49"/>
  </w:style>
  <w:style w:type="table" w:styleId="Rcsostblzat">
    <w:name w:val="Table Grid"/>
    <w:basedOn w:val="Normltblzat"/>
    <w:rsid w:val="002B063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10FA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US" w:eastAsia="en-US"/>
    </w:rPr>
  </w:style>
  <w:style w:type="paragraph" w:styleId="Vltozat">
    <w:name w:val="Revision"/>
    <w:hidden/>
    <w:uiPriority w:val="99"/>
    <w:semiHidden/>
    <w:rsid w:val="00926D8D"/>
    <w:rPr>
      <w:rFonts w:eastAsia="HG Mincho Light J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35dfe9-00fe-4538-8482-7b0ded5a59aa" xsi:nil="true"/>
    <lcf76f155ced4ddcb4097134ff3c332f xmlns="fb40b7ba-4136-4154-8dfc-6fa1516fbe1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A4AA30E86D5D4CB409BF3BB406DD00" ma:contentTypeVersion="12" ma:contentTypeDescription="Ein neues Dokument erstellen." ma:contentTypeScope="" ma:versionID="63d41e9d173ab43afa59739a6fb9a695">
  <xsd:schema xmlns:xsd="http://www.w3.org/2001/XMLSchema" xmlns:xs="http://www.w3.org/2001/XMLSchema" xmlns:p="http://schemas.microsoft.com/office/2006/metadata/properties" xmlns:ns2="fb40b7ba-4136-4154-8dfc-6fa1516fbe1a" xmlns:ns3="8535dfe9-00fe-4538-8482-7b0ded5a59aa" targetNamespace="http://schemas.microsoft.com/office/2006/metadata/properties" ma:root="true" ma:fieldsID="054d4b6dc3d88a4ff4e590fa7293cb68" ns2:_="" ns3:_="">
    <xsd:import namespace="fb40b7ba-4136-4154-8dfc-6fa1516fbe1a"/>
    <xsd:import namespace="8535dfe9-00fe-4538-8482-7b0ded5a5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0b7ba-4136-4154-8dfc-6fa1516fb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7e1c476-c908-48a5-ae86-42d9cd2f5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5dfe9-00fe-4538-8482-7b0ded5a59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386ca1-bc34-45d6-909c-9ef5d9930553}" ma:internalName="TaxCatchAll" ma:showField="CatchAllData" ma:web="8535dfe9-00fe-4538-8482-7b0ded5a59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8F4BF-2960-40B4-BD34-AB117F95DF5A}">
  <ds:schemaRefs>
    <ds:schemaRef ds:uri="http://schemas.microsoft.com/office/2006/metadata/properties"/>
    <ds:schemaRef ds:uri="http://schemas.microsoft.com/office/infopath/2007/PartnerControls"/>
    <ds:schemaRef ds:uri="8535dfe9-00fe-4538-8482-7b0ded5a59aa"/>
    <ds:schemaRef ds:uri="fb40b7ba-4136-4154-8dfc-6fa1516fbe1a"/>
  </ds:schemaRefs>
</ds:datastoreItem>
</file>

<file path=customXml/itemProps2.xml><?xml version="1.0" encoding="utf-8"?>
<ds:datastoreItem xmlns:ds="http://schemas.openxmlformats.org/officeDocument/2006/customXml" ds:itemID="{D48B167A-B406-44BD-BBEE-EAA8AA8DD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0b7ba-4136-4154-8dfc-6fa1516fbe1a"/>
    <ds:schemaRef ds:uri="8535dfe9-00fe-4538-8482-7b0ded5a5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B10849-DB71-410D-BF34-0B636C1F38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29C117-167F-4005-BDC2-9EFB32D11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2600</Words>
  <Characters>17944</Characters>
  <Application>Microsoft Office Word</Application>
  <DocSecurity>0</DocSecurity>
  <Lines>149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20503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OGYI_2.1</dc:creator>
  <cp:keywords/>
  <cp:lastModifiedBy>HU_OGYI_7.1</cp:lastModifiedBy>
  <cp:revision>5</cp:revision>
  <cp:lastPrinted>2013-09-23T09:32:00Z</cp:lastPrinted>
  <dcterms:created xsi:type="dcterms:W3CDTF">2026-01-21T12:07:00Z</dcterms:created>
  <dcterms:modified xsi:type="dcterms:W3CDTF">2026-05-11T09:08:00Z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0x010100D0A4AA30E86D5D4CB409BF3BB406DD00</vt:lpwstr>
  </property>
  <property fmtid="{D5CDD505-2E9C-101B-9397-08002B2CF9AE}" pid="3" name="MSIP_Label_d56ee2b5-6f31-444f-a952-51f9d8d772b6_Enabled">
    <vt:lpwstr>true</vt:lpwstr>
  </property>
  <property fmtid="{D5CDD505-2E9C-101B-9397-08002B2CF9AE}" pid="4" name="MSIP_Label_d56ee2b5-6f31-444f-a952-51f9d8d772b6_SetDate">
    <vt:lpwstr>2026-01-19T15:56:42Z</vt:lpwstr>
  </property>
  <property fmtid="{D5CDD505-2E9C-101B-9397-08002B2CF9AE}" pid="5" name="MSIP_Label_d56ee2b5-6f31-444f-a952-51f9d8d772b6_Method">
    <vt:lpwstr>Privileged</vt:lpwstr>
  </property>
  <property fmtid="{D5CDD505-2E9C-101B-9397-08002B2CF9AE}" pid="6" name="MSIP_Label_d56ee2b5-6f31-444f-a952-51f9d8d772b6_Name">
    <vt:lpwstr>Confidential</vt:lpwstr>
  </property>
  <property fmtid="{D5CDD505-2E9C-101B-9397-08002B2CF9AE}" pid="7" name="MSIP_Label_d56ee2b5-6f31-444f-a952-51f9d8d772b6_SiteId">
    <vt:lpwstr>b7dcea4e-d150-4ba1-8b2a-c8b27a75525c</vt:lpwstr>
  </property>
  <property fmtid="{D5CDD505-2E9C-101B-9397-08002B2CF9AE}" pid="8" name="MSIP_Label_d56ee2b5-6f31-444f-a952-51f9d8d772b6_ActionId">
    <vt:lpwstr>16aa038f-0400-4a64-a0e8-4923a5b03576</vt:lpwstr>
  </property>
  <property fmtid="{D5CDD505-2E9C-101B-9397-08002B2CF9AE}" pid="9" name="MSIP_Label_d56ee2b5-6f31-444f-a952-51f9d8d772b6_ContentBits">
    <vt:lpwstr>0</vt:lpwstr>
  </property>
  <property fmtid="{D5CDD505-2E9C-101B-9397-08002B2CF9AE}" pid="10" name="MSIP_Label_d56ee2b5-6f31-444f-a952-51f9d8d772b6_Tag">
    <vt:lpwstr>10, 0, 1, 1</vt:lpwstr>
  </property>
</Properties>
</file>