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9F0E4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bookmarkStart w:id="0" w:name="_GoBack"/>
      <w:bookmarkEnd w:id="0"/>
      <w:r w:rsidRPr="007B27E9">
        <w:rPr>
          <w:rFonts w:cs="Times New Roman"/>
          <w:b/>
          <w:bCs/>
          <w:sz w:val="22"/>
          <w:szCs w:val="22"/>
        </w:rPr>
        <w:t>1.</w:t>
      </w:r>
      <w:r w:rsidRPr="007B27E9">
        <w:rPr>
          <w:rFonts w:cs="Times New Roman"/>
          <w:b/>
          <w:bCs/>
          <w:sz w:val="22"/>
          <w:szCs w:val="22"/>
        </w:rPr>
        <w:tab/>
        <w:t>A GYÓGYSZER NEVE</w:t>
      </w:r>
    </w:p>
    <w:p w14:paraId="4FFB5290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79B4230" w14:textId="67F5C8C9" w:rsidR="00BF4BF6" w:rsidRPr="00A9229A" w:rsidRDefault="00A64AAE">
      <w:pPr>
        <w:spacing w:line="260" w:lineRule="exact"/>
        <w:rPr>
          <w:rFonts w:cs="Times New Roman"/>
          <w:sz w:val="22"/>
          <w:szCs w:val="22"/>
        </w:rPr>
      </w:pPr>
      <w:proofErr w:type="spellStart"/>
      <w:r w:rsidRPr="00A9229A">
        <w:rPr>
          <w:rFonts w:cs="Times New Roman"/>
          <w:sz w:val="22"/>
          <w:szCs w:val="22"/>
        </w:rPr>
        <w:t>Exacyl</w:t>
      </w:r>
      <w:proofErr w:type="spellEnd"/>
      <w:r w:rsidRPr="00A9229A">
        <w:rPr>
          <w:rFonts w:cs="Times New Roman"/>
          <w:sz w:val="22"/>
          <w:szCs w:val="22"/>
        </w:rPr>
        <w:t xml:space="preserve"> </w:t>
      </w:r>
      <w:proofErr w:type="spellStart"/>
      <w:r w:rsidRPr="00A9229A">
        <w:rPr>
          <w:rFonts w:cs="Times New Roman"/>
          <w:sz w:val="22"/>
          <w:szCs w:val="22"/>
        </w:rPr>
        <w:t>oldatos</w:t>
      </w:r>
      <w:proofErr w:type="spellEnd"/>
      <w:r w:rsidRPr="00A9229A">
        <w:rPr>
          <w:rFonts w:cs="Times New Roman"/>
          <w:sz w:val="22"/>
          <w:szCs w:val="22"/>
        </w:rPr>
        <w:t xml:space="preserve"> injekció</w:t>
      </w:r>
    </w:p>
    <w:p w14:paraId="1A473083" w14:textId="77777777" w:rsidR="00BF4BF6" w:rsidRPr="007B27E9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81CDBD8" w14:textId="77777777" w:rsidR="00BF4BF6" w:rsidRPr="007B27E9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462AC788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2.</w:t>
      </w:r>
      <w:r w:rsidRPr="005924B5">
        <w:rPr>
          <w:rFonts w:cs="Times New Roman"/>
          <w:b/>
          <w:bCs/>
          <w:sz w:val="22"/>
          <w:szCs w:val="22"/>
        </w:rPr>
        <w:tab/>
        <w:t>MINŐSÉGI ÉS MENNYISÉGI ÖSSZETÉTEL</w:t>
      </w:r>
    </w:p>
    <w:p w14:paraId="723592FB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0C549A94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i/>
          <w:iCs/>
          <w:sz w:val="22"/>
          <w:szCs w:val="22"/>
        </w:rPr>
        <w:t>Exacyl</w:t>
      </w:r>
      <w:proofErr w:type="spellEnd"/>
      <w:r w:rsidRPr="005924B5">
        <w:rPr>
          <w:rFonts w:cs="Times New Roman"/>
          <w:i/>
          <w:iCs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i/>
          <w:iCs/>
          <w:sz w:val="22"/>
          <w:szCs w:val="22"/>
        </w:rPr>
        <w:t>oldatos</w:t>
      </w:r>
      <w:proofErr w:type="spellEnd"/>
      <w:r w:rsidRPr="005924B5">
        <w:rPr>
          <w:rFonts w:cs="Times New Roman"/>
          <w:i/>
          <w:iCs/>
          <w:sz w:val="22"/>
          <w:szCs w:val="22"/>
        </w:rPr>
        <w:t xml:space="preserve"> injekció</w:t>
      </w:r>
      <w:r w:rsidRPr="005924B5">
        <w:rPr>
          <w:rFonts w:cs="Times New Roman"/>
          <w:sz w:val="22"/>
          <w:szCs w:val="22"/>
        </w:rPr>
        <w:t xml:space="preserve">: 0,5 g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5 ml oldatban ampullánként. </w:t>
      </w:r>
    </w:p>
    <w:p w14:paraId="24BAC8C1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2CB4554D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 segédanyagok teljes listáját lásd a 6.1 pontban.</w:t>
      </w:r>
    </w:p>
    <w:p w14:paraId="1D3945DD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939EF6D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EA2EEA7" w14:textId="77777777" w:rsidR="00BF4BF6" w:rsidRPr="005924B5" w:rsidRDefault="00A64AAE">
      <w:pPr>
        <w:spacing w:line="260" w:lineRule="exact"/>
        <w:ind w:left="-15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3.</w:t>
      </w:r>
      <w:r w:rsidRPr="005924B5">
        <w:rPr>
          <w:rFonts w:cs="Times New Roman"/>
          <w:b/>
          <w:bCs/>
          <w:sz w:val="22"/>
          <w:szCs w:val="22"/>
        </w:rPr>
        <w:tab/>
        <w:t>GYÓGYSZERFORMA</w:t>
      </w:r>
    </w:p>
    <w:p w14:paraId="4BAA7680" w14:textId="77777777" w:rsidR="00BF4BF6" w:rsidRPr="005924B5" w:rsidRDefault="00BF4BF6">
      <w:pPr>
        <w:spacing w:line="260" w:lineRule="exact"/>
        <w:ind w:left="-15"/>
        <w:rPr>
          <w:rFonts w:cs="Times New Roman"/>
          <w:sz w:val="22"/>
          <w:szCs w:val="22"/>
        </w:rPr>
      </w:pPr>
    </w:p>
    <w:p w14:paraId="6590F3AD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Oldatos</w:t>
      </w:r>
      <w:proofErr w:type="spellEnd"/>
      <w:r w:rsidRPr="005924B5">
        <w:rPr>
          <w:rFonts w:cs="Times New Roman"/>
          <w:sz w:val="22"/>
          <w:szCs w:val="22"/>
        </w:rPr>
        <w:t xml:space="preserve"> injekció</w:t>
      </w:r>
    </w:p>
    <w:p w14:paraId="04E11243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498642B8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Tiszta, színtelen, steril oldat.</w:t>
      </w:r>
    </w:p>
    <w:p w14:paraId="3EBA7764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12831C69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4AE59CE5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4.</w:t>
      </w:r>
      <w:r w:rsidRPr="005924B5">
        <w:rPr>
          <w:rFonts w:cs="Times New Roman"/>
          <w:b/>
          <w:bCs/>
          <w:sz w:val="22"/>
          <w:szCs w:val="22"/>
        </w:rPr>
        <w:tab/>
        <w:t>KLINIKAI JELLEMZŐK</w:t>
      </w:r>
    </w:p>
    <w:p w14:paraId="65C0D23C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14E27DB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4.1</w:t>
      </w:r>
      <w:r w:rsidRPr="005924B5">
        <w:rPr>
          <w:rFonts w:cs="Times New Roman"/>
          <w:b/>
          <w:bCs/>
          <w:sz w:val="22"/>
          <w:szCs w:val="22"/>
        </w:rPr>
        <w:tab/>
        <w:t>Terápiás javallatok</w:t>
      </w:r>
    </w:p>
    <w:p w14:paraId="1E5BD128" w14:textId="77777777" w:rsidR="00BF4BF6" w:rsidRPr="005924B5" w:rsidRDefault="00BF4BF6">
      <w:pPr>
        <w:spacing w:line="260" w:lineRule="exact"/>
        <w:rPr>
          <w:rFonts w:cs="Times New Roman"/>
          <w:b/>
          <w:bCs/>
          <w:sz w:val="22"/>
          <w:szCs w:val="22"/>
        </w:rPr>
      </w:pPr>
    </w:p>
    <w:p w14:paraId="4373A1C8" w14:textId="2F9A8740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Az </w:t>
      </w:r>
      <w:proofErr w:type="spellStart"/>
      <w:r w:rsidRPr="005924B5">
        <w:rPr>
          <w:rFonts w:cs="Times New Roman"/>
          <w:sz w:val="22"/>
          <w:szCs w:val="22"/>
        </w:rPr>
        <w:t>Exacyl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oldatos</w:t>
      </w:r>
      <w:proofErr w:type="spellEnd"/>
      <w:r w:rsidRPr="005924B5">
        <w:rPr>
          <w:rFonts w:cs="Times New Roman"/>
          <w:sz w:val="22"/>
          <w:szCs w:val="22"/>
        </w:rPr>
        <w:t xml:space="preserve"> injekció generalizált vagy helyi </w:t>
      </w:r>
      <w:proofErr w:type="spellStart"/>
      <w:r w:rsidRPr="005924B5">
        <w:rPr>
          <w:rFonts w:cs="Times New Roman"/>
          <w:sz w:val="22"/>
          <w:szCs w:val="22"/>
        </w:rPr>
        <w:t>fibrinolysis</w:t>
      </w:r>
      <w:proofErr w:type="spellEnd"/>
      <w:r w:rsidRPr="005924B5">
        <w:rPr>
          <w:rFonts w:cs="Times New Roman"/>
          <w:sz w:val="22"/>
          <w:szCs w:val="22"/>
        </w:rPr>
        <w:t xml:space="preserve"> következtében kialakult vérzések megelőzésére és kezelésére ajánlott felnőttek és 1 éves kor feletti gyermekek számára, az alábbi javallatok szerint:</w:t>
      </w:r>
    </w:p>
    <w:p w14:paraId="46123C9D" w14:textId="727E583F" w:rsidR="00BF4BF6" w:rsidRPr="005924B5" w:rsidRDefault="00A64AAE">
      <w:pPr>
        <w:numPr>
          <w:ilvl w:val="0"/>
          <w:numId w:val="19"/>
        </w:num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Generalizált vagy helyi </w:t>
      </w:r>
      <w:proofErr w:type="spellStart"/>
      <w:r w:rsidRPr="005924B5">
        <w:rPr>
          <w:rFonts w:cs="Times New Roman"/>
          <w:sz w:val="22"/>
          <w:szCs w:val="22"/>
        </w:rPr>
        <w:t>fibrinolysis</w:t>
      </w:r>
      <w:proofErr w:type="spellEnd"/>
      <w:r w:rsidRPr="005924B5">
        <w:rPr>
          <w:rFonts w:cs="Times New Roman"/>
          <w:sz w:val="22"/>
          <w:szCs w:val="22"/>
        </w:rPr>
        <w:t xml:space="preserve"> következtében kialakult vérzés, úgymint:</w:t>
      </w:r>
    </w:p>
    <w:p w14:paraId="44AC2D66" w14:textId="77777777" w:rsidR="00BF4BF6" w:rsidRPr="005924B5" w:rsidRDefault="00A64AAE">
      <w:pPr>
        <w:numPr>
          <w:ilvl w:val="0"/>
          <w:numId w:val="19"/>
        </w:numPr>
        <w:tabs>
          <w:tab w:val="clear" w:pos="567"/>
          <w:tab w:val="num" w:pos="1134"/>
        </w:tabs>
        <w:spacing w:line="260" w:lineRule="exact"/>
        <w:ind w:firstLine="0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Menorrhagia</w:t>
      </w:r>
      <w:proofErr w:type="spellEnd"/>
      <w:r w:rsidRPr="005924B5">
        <w:rPr>
          <w:rFonts w:cs="Times New Roman"/>
          <w:sz w:val="22"/>
          <w:szCs w:val="22"/>
        </w:rPr>
        <w:t xml:space="preserve"> és </w:t>
      </w:r>
      <w:proofErr w:type="spellStart"/>
      <w:r w:rsidRPr="005924B5">
        <w:rPr>
          <w:rFonts w:cs="Times New Roman"/>
          <w:sz w:val="22"/>
          <w:szCs w:val="22"/>
        </w:rPr>
        <w:t>metrorrhagia</w:t>
      </w:r>
      <w:proofErr w:type="spellEnd"/>
    </w:p>
    <w:p w14:paraId="1C567E25" w14:textId="77777777" w:rsidR="00BF4BF6" w:rsidRPr="005924B5" w:rsidRDefault="00A64AAE">
      <w:pPr>
        <w:numPr>
          <w:ilvl w:val="0"/>
          <w:numId w:val="19"/>
        </w:numPr>
        <w:tabs>
          <w:tab w:val="clear" w:pos="567"/>
          <w:tab w:val="num" w:pos="1134"/>
        </w:tabs>
        <w:spacing w:line="260" w:lineRule="exact"/>
        <w:ind w:firstLine="0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Gastrointestinalis</w:t>
      </w:r>
      <w:proofErr w:type="spellEnd"/>
      <w:r w:rsidRPr="005924B5">
        <w:rPr>
          <w:rFonts w:cs="Times New Roman"/>
          <w:sz w:val="22"/>
          <w:szCs w:val="22"/>
        </w:rPr>
        <w:t xml:space="preserve"> vérzés</w:t>
      </w:r>
    </w:p>
    <w:p w14:paraId="3D320DFC" w14:textId="48CD1CC0" w:rsidR="00BF4BF6" w:rsidRPr="005924B5" w:rsidRDefault="00A64AAE">
      <w:pPr>
        <w:numPr>
          <w:ilvl w:val="0"/>
          <w:numId w:val="19"/>
        </w:numPr>
        <w:tabs>
          <w:tab w:val="clear" w:pos="567"/>
          <w:tab w:val="num" w:pos="1134"/>
        </w:tabs>
        <w:spacing w:line="260" w:lineRule="exact"/>
        <w:ind w:left="1134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Vizeletkiválasztó rendszerben jelentkező </w:t>
      </w:r>
      <w:proofErr w:type="spellStart"/>
      <w:r w:rsidRPr="005924B5">
        <w:rPr>
          <w:rFonts w:cs="Times New Roman"/>
          <w:sz w:val="22"/>
          <w:szCs w:val="22"/>
        </w:rPr>
        <w:t>haemorrhagia</w:t>
      </w:r>
      <w:proofErr w:type="spellEnd"/>
      <w:r w:rsidRPr="005924B5">
        <w:rPr>
          <w:rFonts w:cs="Times New Roman"/>
          <w:sz w:val="22"/>
          <w:szCs w:val="22"/>
        </w:rPr>
        <w:t>, így a prosztata</w:t>
      </w:r>
      <w:r w:rsidR="00AF68C4" w:rsidRPr="005924B5">
        <w:rPr>
          <w:rFonts w:cs="Times New Roman"/>
          <w:sz w:val="22"/>
          <w:szCs w:val="22"/>
        </w:rPr>
        <w:t>-</w:t>
      </w:r>
      <w:r w:rsidRPr="005924B5">
        <w:rPr>
          <w:rFonts w:cs="Times New Roman"/>
          <w:sz w:val="22"/>
          <w:szCs w:val="22"/>
        </w:rPr>
        <w:t>műtéteket követően vagy a húgyutakat érintő sebészeti beavatkozás kapcsán fellépő vérzés</w:t>
      </w:r>
    </w:p>
    <w:p w14:paraId="444F4D65" w14:textId="77777777" w:rsidR="00BF4BF6" w:rsidRPr="005924B5" w:rsidRDefault="00A64AAE">
      <w:pPr>
        <w:numPr>
          <w:ilvl w:val="0"/>
          <w:numId w:val="19"/>
        </w:num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Fül-orr-gégészeti műtétek (</w:t>
      </w:r>
      <w:proofErr w:type="spellStart"/>
      <w:r w:rsidRPr="005924B5">
        <w:rPr>
          <w:rFonts w:cs="Times New Roman"/>
          <w:sz w:val="22"/>
          <w:szCs w:val="22"/>
        </w:rPr>
        <w:t>adenoidectomia</w:t>
      </w:r>
      <w:proofErr w:type="spellEnd"/>
      <w:r w:rsidRPr="005924B5">
        <w:rPr>
          <w:rFonts w:cs="Times New Roman"/>
          <w:sz w:val="22"/>
          <w:szCs w:val="22"/>
        </w:rPr>
        <w:t xml:space="preserve">, </w:t>
      </w:r>
      <w:proofErr w:type="spellStart"/>
      <w:r w:rsidRPr="005924B5">
        <w:rPr>
          <w:rFonts w:cs="Times New Roman"/>
          <w:sz w:val="22"/>
          <w:szCs w:val="22"/>
        </w:rPr>
        <w:t>tonsillectomia</w:t>
      </w:r>
      <w:proofErr w:type="spellEnd"/>
      <w:r w:rsidRPr="005924B5">
        <w:rPr>
          <w:rFonts w:cs="Times New Roman"/>
          <w:sz w:val="22"/>
          <w:szCs w:val="22"/>
        </w:rPr>
        <w:t>, foghúzás)</w:t>
      </w:r>
    </w:p>
    <w:p w14:paraId="3158F528" w14:textId="77777777" w:rsidR="00BF4BF6" w:rsidRPr="005924B5" w:rsidRDefault="00A64AAE">
      <w:pPr>
        <w:numPr>
          <w:ilvl w:val="0"/>
          <w:numId w:val="19"/>
        </w:num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Nőgyógyászati műtétek vagy nőgyógyászati rendellenességek</w:t>
      </w:r>
    </w:p>
    <w:p w14:paraId="3CC1D4BA" w14:textId="77777777" w:rsidR="00BF4BF6" w:rsidRPr="005924B5" w:rsidRDefault="00A64AAE">
      <w:pPr>
        <w:numPr>
          <w:ilvl w:val="0"/>
          <w:numId w:val="19"/>
        </w:num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Mellkasi és hasi műtétek vagy egyéb sebészeti nagy beavatkozások, mint például a </w:t>
      </w:r>
      <w:proofErr w:type="spellStart"/>
      <w:r w:rsidRPr="005924B5">
        <w:rPr>
          <w:rFonts w:cs="Times New Roman"/>
          <w:sz w:val="22"/>
          <w:szCs w:val="22"/>
        </w:rPr>
        <w:t>cardiovascularis</w:t>
      </w:r>
      <w:proofErr w:type="spellEnd"/>
      <w:r w:rsidRPr="005924B5">
        <w:rPr>
          <w:rFonts w:cs="Times New Roman"/>
          <w:sz w:val="22"/>
          <w:szCs w:val="22"/>
        </w:rPr>
        <w:t xml:space="preserve"> műtétek</w:t>
      </w:r>
    </w:p>
    <w:p w14:paraId="730AAB33" w14:textId="77777777" w:rsidR="00BF4BF6" w:rsidRPr="005924B5" w:rsidRDefault="00A64AAE">
      <w:pPr>
        <w:numPr>
          <w:ilvl w:val="0"/>
          <w:numId w:val="19"/>
        </w:numPr>
        <w:spacing w:line="260" w:lineRule="exact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Fibrinolitikus</w:t>
      </w:r>
      <w:proofErr w:type="spellEnd"/>
      <w:r w:rsidRPr="005924B5">
        <w:rPr>
          <w:rFonts w:cs="Times New Roman"/>
          <w:sz w:val="22"/>
          <w:szCs w:val="22"/>
        </w:rPr>
        <w:t xml:space="preserve"> kezelés következtében fellépő vérzés kezelése.</w:t>
      </w:r>
    </w:p>
    <w:p w14:paraId="7B56B63D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489A45F5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4.2</w:t>
      </w:r>
      <w:r w:rsidRPr="005924B5">
        <w:rPr>
          <w:rFonts w:cs="Times New Roman"/>
          <w:b/>
          <w:bCs/>
          <w:sz w:val="22"/>
          <w:szCs w:val="22"/>
        </w:rPr>
        <w:tab/>
        <w:t>Adagolás és alkalmazás</w:t>
      </w:r>
    </w:p>
    <w:p w14:paraId="617AB553" w14:textId="77777777" w:rsidR="00BF4BF6" w:rsidRPr="005924B5" w:rsidRDefault="00BF4BF6">
      <w:pPr>
        <w:spacing w:line="260" w:lineRule="exact"/>
        <w:rPr>
          <w:rFonts w:cs="Times New Roman"/>
          <w:i/>
          <w:iCs/>
          <w:sz w:val="22"/>
          <w:szCs w:val="22"/>
          <w:u w:val="single"/>
        </w:rPr>
      </w:pPr>
    </w:p>
    <w:p w14:paraId="3B8B0B84" w14:textId="7FD4CD16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Adagolás</w:t>
      </w:r>
    </w:p>
    <w:p w14:paraId="6045A30A" w14:textId="77777777" w:rsidR="00BF4BF6" w:rsidRPr="005924B5" w:rsidRDefault="00BF4BF6">
      <w:pPr>
        <w:spacing w:line="260" w:lineRule="exact"/>
        <w:rPr>
          <w:rFonts w:cs="Times New Roman"/>
          <w:i/>
          <w:iCs/>
          <w:sz w:val="22"/>
          <w:szCs w:val="22"/>
        </w:rPr>
      </w:pPr>
    </w:p>
    <w:p w14:paraId="6A8C9989" w14:textId="77777777" w:rsidR="00BF4BF6" w:rsidRPr="005924B5" w:rsidRDefault="00A64AAE">
      <w:pPr>
        <w:spacing w:line="260" w:lineRule="exact"/>
        <w:rPr>
          <w:rFonts w:cs="Times New Roman"/>
          <w:i/>
          <w:iCs/>
          <w:sz w:val="22"/>
          <w:szCs w:val="22"/>
        </w:rPr>
      </w:pPr>
      <w:r w:rsidRPr="005924B5">
        <w:rPr>
          <w:rFonts w:cs="Times New Roman"/>
          <w:i/>
          <w:iCs/>
          <w:sz w:val="22"/>
          <w:szCs w:val="22"/>
        </w:rPr>
        <w:t>Felnőttek</w:t>
      </w:r>
    </w:p>
    <w:p w14:paraId="2EEB13FB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Ha az orvos másképpen nem rendeli, az alábbi adagolás javasolt:</w:t>
      </w:r>
    </w:p>
    <w:p w14:paraId="0B6A5DA7" w14:textId="21CCAEF1" w:rsidR="00BF4BF6" w:rsidRPr="005924B5" w:rsidRDefault="00A64AAE">
      <w:pPr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1.</w:t>
      </w:r>
      <w:r w:rsidRPr="005924B5">
        <w:rPr>
          <w:rFonts w:cs="Times New Roman"/>
          <w:sz w:val="22"/>
          <w:szCs w:val="22"/>
        </w:rPr>
        <w:tab/>
        <w:t xml:space="preserve">Általános kezelés helyi </w:t>
      </w:r>
      <w:proofErr w:type="spellStart"/>
      <w:r w:rsidRPr="005924B5">
        <w:rPr>
          <w:rFonts w:cs="Times New Roman"/>
          <w:sz w:val="22"/>
          <w:szCs w:val="22"/>
        </w:rPr>
        <w:t>fibrinolysis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r w:rsidR="00AF68C4" w:rsidRPr="005924B5">
        <w:rPr>
          <w:rFonts w:cs="Times New Roman"/>
          <w:sz w:val="22"/>
          <w:szCs w:val="22"/>
        </w:rPr>
        <w:t>esetén</w:t>
      </w:r>
      <w:r w:rsidRPr="005924B5">
        <w:rPr>
          <w:rFonts w:cs="Times New Roman"/>
          <w:sz w:val="22"/>
          <w:szCs w:val="22"/>
        </w:rPr>
        <w:t>: napi 0,5 g (1 darab 5 ml-es ampulla) és 1 g (1 darab 10 ml-es ampulla, vagy 2 darab 5 ml</w:t>
      </w:r>
      <w:r w:rsidRPr="005924B5">
        <w:rPr>
          <w:rFonts w:cs="Times New Roman"/>
          <w:sz w:val="22"/>
          <w:szCs w:val="22"/>
        </w:rPr>
        <w:noBreakHyphen/>
        <w:t xml:space="preserve">es ampulla) közötti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lassú, intravénás injekció formájában (= 1 ml/perc), két vagy három részre elosztva.</w:t>
      </w:r>
    </w:p>
    <w:p w14:paraId="0A977E80" w14:textId="37D43159" w:rsidR="00BF4BF6" w:rsidRPr="005924B5" w:rsidRDefault="00A64AAE">
      <w:pPr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2.</w:t>
      </w:r>
      <w:r w:rsidRPr="005924B5">
        <w:rPr>
          <w:rFonts w:cs="Times New Roman"/>
          <w:sz w:val="22"/>
          <w:szCs w:val="22"/>
        </w:rPr>
        <w:tab/>
        <w:t xml:space="preserve">Általános kezelés generalizált </w:t>
      </w:r>
      <w:proofErr w:type="spellStart"/>
      <w:r w:rsidRPr="005924B5">
        <w:rPr>
          <w:rFonts w:cs="Times New Roman"/>
          <w:sz w:val="22"/>
          <w:szCs w:val="22"/>
        </w:rPr>
        <w:t>fibrinolysis</w:t>
      </w:r>
      <w:proofErr w:type="spellEnd"/>
      <w:r w:rsidRPr="005924B5">
        <w:rPr>
          <w:rFonts w:cs="Times New Roman"/>
          <w:sz w:val="22"/>
          <w:szCs w:val="22"/>
        </w:rPr>
        <w:t xml:space="preserve"> esetén: 1 g (1 darab 10 ml-es ampulla vagy 2 darab 5 ml</w:t>
      </w:r>
      <w:r w:rsidRPr="005924B5">
        <w:rPr>
          <w:rFonts w:cs="Times New Roman"/>
          <w:sz w:val="22"/>
          <w:szCs w:val="22"/>
        </w:rPr>
        <w:noBreakHyphen/>
        <w:t xml:space="preserve">es ampulla)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lassú, intravénás injekció formájában (= 1 ml/perc) 6 vagy 8 óránként 15 mg/testtömeg-kilogrammnak megfelelően.</w:t>
      </w:r>
    </w:p>
    <w:p w14:paraId="70DCBC21" w14:textId="77777777" w:rsidR="00BF4BF6" w:rsidRPr="005924B5" w:rsidRDefault="00BF4BF6">
      <w:pPr>
        <w:spacing w:line="260" w:lineRule="exact"/>
        <w:rPr>
          <w:rFonts w:cs="Times New Roman"/>
          <w:i/>
          <w:iCs/>
          <w:sz w:val="22"/>
          <w:szCs w:val="22"/>
          <w:u w:val="single"/>
        </w:rPr>
      </w:pPr>
    </w:p>
    <w:p w14:paraId="5F2A30B4" w14:textId="77777777" w:rsidR="00BF4BF6" w:rsidRPr="005924B5" w:rsidRDefault="00A64AAE">
      <w:pPr>
        <w:spacing w:line="260" w:lineRule="exact"/>
        <w:rPr>
          <w:rFonts w:cs="Times New Roman"/>
          <w:i/>
          <w:iCs/>
          <w:sz w:val="22"/>
          <w:szCs w:val="22"/>
        </w:rPr>
      </w:pPr>
      <w:r w:rsidRPr="005924B5">
        <w:rPr>
          <w:rFonts w:cs="Times New Roman"/>
          <w:i/>
          <w:iCs/>
          <w:sz w:val="22"/>
          <w:szCs w:val="22"/>
        </w:rPr>
        <w:t>Vesekárosodás</w:t>
      </w:r>
    </w:p>
    <w:p w14:paraId="709B46D3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Súlyos vesekárosodásban az akkumuláció veszélye miatt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alkalmazása ellenjavallt (lásd 4.3 pont). Enyhe vagy közepesen súlyos vesekárosodásban szenvedő betegek esetén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adagját a szérum </w:t>
      </w:r>
      <w:proofErr w:type="spellStart"/>
      <w:r w:rsidRPr="005924B5">
        <w:rPr>
          <w:rFonts w:cs="Times New Roman"/>
          <w:sz w:val="22"/>
          <w:szCs w:val="22"/>
        </w:rPr>
        <w:t>kreatininszintnek</w:t>
      </w:r>
      <w:proofErr w:type="spellEnd"/>
      <w:r w:rsidRPr="005924B5">
        <w:rPr>
          <w:rFonts w:cs="Times New Roman"/>
          <w:sz w:val="22"/>
          <w:szCs w:val="22"/>
        </w:rPr>
        <w:t xml:space="preserve"> megfelelően csökkenteni kell:</w:t>
      </w:r>
    </w:p>
    <w:p w14:paraId="0FF8F9E7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1"/>
        <w:gridCol w:w="2321"/>
        <w:gridCol w:w="2866"/>
        <w:gridCol w:w="1777"/>
      </w:tblGrid>
      <w:tr w:rsidR="00BF4BF6" w:rsidRPr="007B27E9" w14:paraId="62BF1222" w14:textId="77777777" w:rsidTr="00591626">
        <w:trPr>
          <w:trHeight w:val="250"/>
        </w:trPr>
        <w:tc>
          <w:tcPr>
            <w:tcW w:w="4642" w:type="dxa"/>
            <w:gridSpan w:val="2"/>
          </w:tcPr>
          <w:p w14:paraId="5D97BFF3" w14:textId="77777777" w:rsidR="00BF4BF6" w:rsidRPr="00A9229A" w:rsidRDefault="00A64AAE">
            <w:pPr>
              <w:keepNext/>
              <w:spacing w:line="260" w:lineRule="exac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5924B5">
              <w:rPr>
                <w:rFonts w:eastAsia="Times New Roman" w:cs="Times New Roman"/>
                <w:sz w:val="22"/>
                <w:szCs w:val="22"/>
              </w:rPr>
              <w:lastRenderedPageBreak/>
              <w:t xml:space="preserve">Szérum kreatinin </w:t>
            </w:r>
          </w:p>
        </w:tc>
        <w:tc>
          <w:tcPr>
            <w:tcW w:w="2866" w:type="dxa"/>
            <w:vMerge w:val="restart"/>
          </w:tcPr>
          <w:p w14:paraId="21ABAD7D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iv. adag</w:t>
            </w:r>
          </w:p>
        </w:tc>
        <w:tc>
          <w:tcPr>
            <w:tcW w:w="1777" w:type="dxa"/>
            <w:vMerge w:val="restart"/>
          </w:tcPr>
          <w:p w14:paraId="522B5094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alkalmazás</w:t>
            </w:r>
          </w:p>
        </w:tc>
      </w:tr>
      <w:tr w:rsidR="00BF4BF6" w:rsidRPr="007B27E9" w14:paraId="5ECB8F54" w14:textId="77777777" w:rsidTr="00591626">
        <w:trPr>
          <w:trHeight w:val="250"/>
        </w:trPr>
        <w:tc>
          <w:tcPr>
            <w:tcW w:w="2321" w:type="dxa"/>
          </w:tcPr>
          <w:p w14:paraId="5727906C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mikromol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>/l</w:t>
            </w:r>
          </w:p>
        </w:tc>
        <w:tc>
          <w:tcPr>
            <w:tcW w:w="2321" w:type="dxa"/>
          </w:tcPr>
          <w:p w14:paraId="23DC528F" w14:textId="61172E55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mg/</w:t>
            </w:r>
            <w:r w:rsidRPr="005924B5">
              <w:rPr>
                <w:rFonts w:eastAsia="Times New Roman" w:cs="Times New Roman"/>
                <w:sz w:val="22"/>
                <w:szCs w:val="22"/>
              </w:rPr>
              <w:t>dl</w:t>
            </w:r>
          </w:p>
        </w:tc>
        <w:tc>
          <w:tcPr>
            <w:tcW w:w="2866" w:type="dxa"/>
            <w:vMerge/>
          </w:tcPr>
          <w:p w14:paraId="5657EAD3" w14:textId="77777777" w:rsidR="00BF4BF6" w:rsidRPr="00A9229A" w:rsidRDefault="00BF4BF6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777" w:type="dxa"/>
            <w:vMerge/>
          </w:tcPr>
          <w:p w14:paraId="05D8874F" w14:textId="77777777" w:rsidR="00BF4BF6" w:rsidRPr="00A9229A" w:rsidRDefault="00BF4BF6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BF4BF6" w:rsidRPr="007B27E9" w14:paraId="63CFB8F6" w14:textId="77777777" w:rsidTr="00591626">
        <w:tc>
          <w:tcPr>
            <w:tcW w:w="2321" w:type="dxa"/>
          </w:tcPr>
          <w:p w14:paraId="42467B1B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120</w:t>
            </w:r>
            <w:r w:rsidRPr="007B27E9">
              <w:rPr>
                <w:rFonts w:eastAsia="Times New Roman" w:cs="Times New Roman"/>
                <w:sz w:val="22"/>
                <w:szCs w:val="22"/>
              </w:rPr>
              <w:noBreakHyphen/>
              <w:t>249</w:t>
            </w:r>
          </w:p>
        </w:tc>
        <w:tc>
          <w:tcPr>
            <w:tcW w:w="2321" w:type="dxa"/>
          </w:tcPr>
          <w:p w14:paraId="24EDA2BC" w14:textId="51594BD1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1,35</w:t>
            </w:r>
            <w:r w:rsidRPr="007B27E9">
              <w:rPr>
                <w:rFonts w:eastAsia="Times New Roman" w:cs="Times New Roman"/>
                <w:sz w:val="22"/>
                <w:szCs w:val="22"/>
              </w:rPr>
              <w:noBreakHyphen/>
              <w:t>2,82</w:t>
            </w:r>
          </w:p>
        </w:tc>
        <w:tc>
          <w:tcPr>
            <w:tcW w:w="2866" w:type="dxa"/>
          </w:tcPr>
          <w:p w14:paraId="4B88DDAA" w14:textId="69BE8211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10 mg/</w:t>
            </w:r>
            <w:r w:rsidRPr="007B27E9">
              <w:rPr>
                <w:rFonts w:cs="Times New Roman"/>
                <w:sz w:val="22"/>
                <w:szCs w:val="22"/>
              </w:rPr>
              <w:t>testtömeg-kilogramm</w:t>
            </w:r>
          </w:p>
        </w:tc>
        <w:tc>
          <w:tcPr>
            <w:tcW w:w="1777" w:type="dxa"/>
          </w:tcPr>
          <w:p w14:paraId="5CAC94A7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12 óránként</w:t>
            </w:r>
          </w:p>
        </w:tc>
      </w:tr>
      <w:tr w:rsidR="00BF4BF6" w:rsidRPr="007B27E9" w14:paraId="48D012D0" w14:textId="77777777" w:rsidTr="00591626">
        <w:tc>
          <w:tcPr>
            <w:tcW w:w="2321" w:type="dxa"/>
          </w:tcPr>
          <w:p w14:paraId="32F79D98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250</w:t>
            </w:r>
            <w:r w:rsidRPr="007B27E9">
              <w:rPr>
                <w:rFonts w:eastAsia="Times New Roman" w:cs="Times New Roman"/>
                <w:sz w:val="22"/>
                <w:szCs w:val="22"/>
              </w:rPr>
              <w:noBreakHyphen/>
              <w:t>500</w:t>
            </w:r>
          </w:p>
        </w:tc>
        <w:tc>
          <w:tcPr>
            <w:tcW w:w="2321" w:type="dxa"/>
          </w:tcPr>
          <w:p w14:paraId="60659D18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2,82</w:t>
            </w:r>
            <w:r w:rsidRPr="007B27E9">
              <w:rPr>
                <w:rFonts w:eastAsia="Times New Roman" w:cs="Times New Roman"/>
                <w:sz w:val="22"/>
                <w:szCs w:val="22"/>
              </w:rPr>
              <w:noBreakHyphen/>
              <w:t>5,65</w:t>
            </w:r>
          </w:p>
        </w:tc>
        <w:tc>
          <w:tcPr>
            <w:tcW w:w="2866" w:type="dxa"/>
          </w:tcPr>
          <w:p w14:paraId="3548897F" w14:textId="4C90AAA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10 mg/</w:t>
            </w:r>
            <w:r w:rsidRPr="007B27E9">
              <w:rPr>
                <w:rFonts w:cs="Times New Roman"/>
                <w:sz w:val="22"/>
                <w:szCs w:val="22"/>
              </w:rPr>
              <w:t>testtömeg-kilogramm</w:t>
            </w:r>
          </w:p>
        </w:tc>
        <w:tc>
          <w:tcPr>
            <w:tcW w:w="1777" w:type="dxa"/>
          </w:tcPr>
          <w:p w14:paraId="3ACF9691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24 óránként</w:t>
            </w:r>
          </w:p>
        </w:tc>
      </w:tr>
      <w:tr w:rsidR="00BF4BF6" w:rsidRPr="007B27E9" w14:paraId="3D2D7EBA" w14:textId="77777777" w:rsidTr="00591626">
        <w:tc>
          <w:tcPr>
            <w:tcW w:w="2321" w:type="dxa"/>
          </w:tcPr>
          <w:p w14:paraId="716EA31B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&gt; 500</w:t>
            </w:r>
          </w:p>
        </w:tc>
        <w:tc>
          <w:tcPr>
            <w:tcW w:w="2321" w:type="dxa"/>
          </w:tcPr>
          <w:p w14:paraId="3C743214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&gt; 5,65</w:t>
            </w:r>
          </w:p>
        </w:tc>
        <w:tc>
          <w:tcPr>
            <w:tcW w:w="2866" w:type="dxa"/>
          </w:tcPr>
          <w:p w14:paraId="50B1F910" w14:textId="64EFB8C2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5 mg/</w:t>
            </w:r>
            <w:r w:rsidRPr="007B27E9">
              <w:rPr>
                <w:rFonts w:cs="Times New Roman"/>
                <w:sz w:val="22"/>
                <w:szCs w:val="22"/>
              </w:rPr>
              <w:t>testtömeg-kilogramm</w:t>
            </w:r>
          </w:p>
        </w:tc>
        <w:tc>
          <w:tcPr>
            <w:tcW w:w="1777" w:type="dxa"/>
          </w:tcPr>
          <w:p w14:paraId="56ACC5CF" w14:textId="77777777" w:rsidR="00BF4BF6" w:rsidRPr="00A9229A" w:rsidRDefault="00A64AAE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24 óránként</w:t>
            </w:r>
          </w:p>
        </w:tc>
      </w:tr>
    </w:tbl>
    <w:p w14:paraId="156367F6" w14:textId="77777777" w:rsidR="00BF4BF6" w:rsidRPr="007B27E9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2197F94C" w14:textId="77777777" w:rsidR="00BF4BF6" w:rsidRPr="005924B5" w:rsidRDefault="00A64AAE">
      <w:pPr>
        <w:spacing w:line="260" w:lineRule="exact"/>
        <w:rPr>
          <w:rFonts w:cs="Times New Roman"/>
          <w:i/>
          <w:iCs/>
          <w:sz w:val="22"/>
          <w:szCs w:val="22"/>
        </w:rPr>
      </w:pPr>
      <w:r w:rsidRPr="007B27E9">
        <w:rPr>
          <w:rFonts w:cs="Times New Roman"/>
          <w:i/>
          <w:iCs/>
          <w:sz w:val="22"/>
          <w:szCs w:val="22"/>
        </w:rPr>
        <w:t>Májkárosodás</w:t>
      </w:r>
    </w:p>
    <w:p w14:paraId="5E43A389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Nem szükséges az adagot módosítani májkárosodás esetén.</w:t>
      </w:r>
    </w:p>
    <w:p w14:paraId="63E5B12F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DCB3FEC" w14:textId="77777777" w:rsidR="00BF4BF6" w:rsidRPr="005924B5" w:rsidRDefault="00A64AAE">
      <w:pPr>
        <w:spacing w:line="260" w:lineRule="exact"/>
        <w:rPr>
          <w:rFonts w:cs="Times New Roman"/>
          <w:i/>
          <w:iCs/>
          <w:sz w:val="22"/>
          <w:szCs w:val="22"/>
        </w:rPr>
      </w:pPr>
      <w:r w:rsidRPr="005924B5">
        <w:rPr>
          <w:rFonts w:cs="Times New Roman"/>
          <w:i/>
          <w:iCs/>
          <w:sz w:val="22"/>
          <w:szCs w:val="22"/>
        </w:rPr>
        <w:t>Gyermekek és serdülők</w:t>
      </w:r>
    </w:p>
    <w:p w14:paraId="7960377E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Egy évesnél idősebb gyermekek esetében, a 4.1 pontban feltüntetett, jelenleg elfogadott javallatokban, az adagolás 20 mg/kg/nap tartományban javasolt. Ezekben az indikációkban azonban korlátozott adatok állnak rendelkezésre a </w:t>
      </w:r>
      <w:proofErr w:type="spellStart"/>
      <w:r w:rsidRPr="005924B5">
        <w:rPr>
          <w:rFonts w:cs="Times New Roman"/>
          <w:sz w:val="22"/>
          <w:szCs w:val="22"/>
        </w:rPr>
        <w:t>hatásosságot</w:t>
      </w:r>
      <w:proofErr w:type="spellEnd"/>
      <w:r w:rsidRPr="005924B5">
        <w:rPr>
          <w:rFonts w:cs="Times New Roman"/>
          <w:sz w:val="22"/>
          <w:szCs w:val="22"/>
        </w:rPr>
        <w:t xml:space="preserve">, adagolást és </w:t>
      </w:r>
      <w:proofErr w:type="spellStart"/>
      <w:r w:rsidRPr="005924B5">
        <w:rPr>
          <w:rFonts w:cs="Times New Roman"/>
          <w:sz w:val="22"/>
          <w:szCs w:val="22"/>
        </w:rPr>
        <w:t>biztonságosságot</w:t>
      </w:r>
      <w:proofErr w:type="spellEnd"/>
      <w:r w:rsidRPr="005924B5">
        <w:rPr>
          <w:rFonts w:cs="Times New Roman"/>
          <w:sz w:val="22"/>
          <w:szCs w:val="22"/>
        </w:rPr>
        <w:t xml:space="preserve"> illetően.</w:t>
      </w:r>
    </w:p>
    <w:p w14:paraId="7B3DD93A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Gyermekeknél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hatásossága, adagolása és biztonságossága szívsebészeti beavatkozás esetén nem teljesen megalapozott. A jelenleg rendelkezésre álló korlátozott adatok az 5.1 pontban találhatók.</w:t>
      </w:r>
    </w:p>
    <w:p w14:paraId="0EC37B09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C53D092" w14:textId="77777777" w:rsidR="00BF4BF6" w:rsidRPr="005924B5" w:rsidRDefault="00A64AAE">
      <w:pPr>
        <w:spacing w:line="260" w:lineRule="exact"/>
        <w:rPr>
          <w:rFonts w:cs="Times New Roman"/>
          <w:i/>
          <w:iCs/>
          <w:sz w:val="22"/>
          <w:szCs w:val="22"/>
        </w:rPr>
      </w:pPr>
      <w:r w:rsidRPr="005924B5">
        <w:rPr>
          <w:rFonts w:cs="Times New Roman"/>
          <w:i/>
          <w:iCs/>
          <w:sz w:val="22"/>
          <w:szCs w:val="22"/>
        </w:rPr>
        <w:t>Idősek</w:t>
      </w:r>
    </w:p>
    <w:p w14:paraId="36757C1B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Az adag csökkentése nem szükséges, kivéve bizonyított veseelégtelenség esetén.</w:t>
      </w:r>
    </w:p>
    <w:p w14:paraId="5426F671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5C936B2" w14:textId="5B8FE07D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Az alkalmazás módja</w:t>
      </w:r>
    </w:p>
    <w:p w14:paraId="43444F36" w14:textId="77777777" w:rsidR="00BF4BF6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Kizárólag szigorúan lassú, intravénás injekció formájában alkalmazható.</w:t>
      </w:r>
    </w:p>
    <w:p w14:paraId="66D3ED33" w14:textId="77777777" w:rsidR="00A14E47" w:rsidRDefault="00A14E47">
      <w:pPr>
        <w:spacing w:line="260" w:lineRule="exact"/>
        <w:rPr>
          <w:rFonts w:cs="Times New Roman"/>
          <w:sz w:val="22"/>
          <w:szCs w:val="22"/>
        </w:rPr>
      </w:pPr>
    </w:p>
    <w:p w14:paraId="56BED6D2" w14:textId="1DF50567" w:rsidR="00A14E47" w:rsidRPr="00591626" w:rsidRDefault="00A14E47" w:rsidP="00A14E47">
      <w:pPr>
        <w:spacing w:line="260" w:lineRule="exact"/>
        <w:rPr>
          <w:rFonts w:cs="Times New Roman"/>
          <w:sz w:val="22"/>
          <w:szCs w:val="22"/>
          <w:lang w:val="en-US"/>
        </w:rPr>
      </w:pPr>
      <w:r w:rsidRPr="00591626">
        <w:rPr>
          <w:rFonts w:cs="Times New Roman"/>
          <w:b/>
          <w:bCs/>
          <w:sz w:val="22"/>
          <w:szCs w:val="22"/>
        </w:rPr>
        <w:t>A TRANEXÁMSAV KIZÁRÓLAG INTRAVÉNÁSAN ALKALMAZHATÓ, és tilos</w:t>
      </w:r>
      <w:r w:rsidR="0089720F">
        <w:rPr>
          <w:rFonts w:cs="Times New Roman"/>
          <w:b/>
          <w:bCs/>
          <w:sz w:val="22"/>
          <w:szCs w:val="22"/>
        </w:rPr>
        <w:t xml:space="preserve"> </w:t>
      </w:r>
      <w:proofErr w:type="spellStart"/>
      <w:r w:rsidRPr="00591626">
        <w:rPr>
          <w:rFonts w:cs="Times New Roman"/>
          <w:b/>
          <w:bCs/>
          <w:sz w:val="22"/>
          <w:szCs w:val="22"/>
        </w:rPr>
        <w:t>intrathecalisan</w:t>
      </w:r>
      <w:proofErr w:type="spellEnd"/>
      <w:r w:rsidRPr="00591626">
        <w:rPr>
          <w:rFonts w:cs="Times New Roman"/>
          <w:b/>
          <w:bCs/>
          <w:sz w:val="22"/>
          <w:szCs w:val="22"/>
        </w:rPr>
        <w:t xml:space="preserve"> vagy </w:t>
      </w:r>
      <w:proofErr w:type="spellStart"/>
      <w:r w:rsidRPr="00591626">
        <w:rPr>
          <w:rFonts w:cs="Times New Roman"/>
          <w:b/>
          <w:bCs/>
          <w:sz w:val="22"/>
          <w:szCs w:val="22"/>
        </w:rPr>
        <w:t>epiduralisan</w:t>
      </w:r>
      <w:proofErr w:type="spellEnd"/>
      <w:r w:rsidRPr="00591626">
        <w:rPr>
          <w:rFonts w:cs="Times New Roman"/>
          <w:b/>
          <w:bCs/>
          <w:sz w:val="22"/>
          <w:szCs w:val="22"/>
        </w:rPr>
        <w:t xml:space="preserve"> beadni </w:t>
      </w:r>
      <w:r w:rsidRPr="00591626">
        <w:rPr>
          <w:rFonts w:cs="Times New Roman"/>
          <w:sz w:val="22"/>
          <w:szCs w:val="22"/>
        </w:rPr>
        <w:t>(lásd 4.3 és 4.4 pont</w:t>
      </w:r>
      <w:r w:rsidRPr="00591626">
        <w:rPr>
          <w:rFonts w:cs="Times New Roman"/>
          <w:sz w:val="22"/>
          <w:szCs w:val="22"/>
          <w:lang w:val="en-US"/>
        </w:rPr>
        <w:t>).</w:t>
      </w:r>
    </w:p>
    <w:p w14:paraId="1B3B1E29" w14:textId="77777777" w:rsidR="00A14E47" w:rsidRPr="00591626" w:rsidRDefault="00A14E47" w:rsidP="00A14E47">
      <w:pPr>
        <w:spacing w:line="260" w:lineRule="exact"/>
        <w:rPr>
          <w:rFonts w:cs="Times New Roman"/>
          <w:sz w:val="22"/>
          <w:szCs w:val="22"/>
          <w:lang w:val="en-US"/>
        </w:rPr>
      </w:pPr>
    </w:p>
    <w:p w14:paraId="6537FE51" w14:textId="017CF3EF" w:rsidR="00A14E47" w:rsidRPr="00591626" w:rsidRDefault="00A14E47" w:rsidP="00A14E47">
      <w:pPr>
        <w:spacing w:line="260" w:lineRule="exact"/>
        <w:rPr>
          <w:rFonts w:cs="Times New Roman"/>
          <w:sz w:val="22"/>
          <w:szCs w:val="22"/>
          <w:lang w:val="en-US"/>
        </w:rPr>
      </w:pPr>
      <w:r w:rsidRPr="00591626">
        <w:rPr>
          <w:rFonts w:cs="Times New Roman"/>
          <w:sz w:val="22"/>
          <w:szCs w:val="22"/>
          <w:lang w:val="en-US"/>
        </w:rPr>
        <w:t>A TRANEXÁMSAV HELYTELEN ALKALMAZÁSI MÓDJÁBÓL EREDŐ HALÁLOS</w:t>
      </w:r>
      <w:r w:rsidR="0089720F">
        <w:rPr>
          <w:rFonts w:cs="Times New Roman"/>
          <w:sz w:val="22"/>
          <w:szCs w:val="22"/>
          <w:lang w:val="en-US"/>
        </w:rPr>
        <w:t xml:space="preserve"> </w:t>
      </w:r>
      <w:r w:rsidRPr="00591626">
        <w:rPr>
          <w:rFonts w:cs="Times New Roman"/>
          <w:sz w:val="22"/>
          <w:szCs w:val="22"/>
          <w:lang w:val="en-US"/>
        </w:rPr>
        <w:t>KIMENETELŰ GYÓGYSZERELÉSI HIBÁK KOCKÁZATÁNAK CSÖKKENTÉSE</w:t>
      </w:r>
      <w:r w:rsidR="0089720F">
        <w:rPr>
          <w:rFonts w:cs="Times New Roman"/>
          <w:sz w:val="22"/>
          <w:szCs w:val="22"/>
          <w:lang w:val="en-US"/>
        </w:rPr>
        <w:t xml:space="preserve"> </w:t>
      </w:r>
      <w:r w:rsidRPr="00591626">
        <w:rPr>
          <w:rFonts w:cs="Times New Roman"/>
          <w:sz w:val="22"/>
          <w:szCs w:val="22"/>
          <w:lang w:val="en-US"/>
        </w:rPr>
        <w:t>ÉRDEKÉBEN NYOMATÉKOSAN AJÁNLOTT A TRANEXÁMSAVAT TARTALMAZÓ</w:t>
      </w:r>
      <w:r w:rsidR="0089720F">
        <w:rPr>
          <w:rFonts w:cs="Times New Roman"/>
          <w:sz w:val="22"/>
          <w:szCs w:val="22"/>
          <w:lang w:val="en-US"/>
        </w:rPr>
        <w:t xml:space="preserve"> </w:t>
      </w:r>
      <w:r w:rsidRPr="00591626">
        <w:rPr>
          <w:rFonts w:cs="Times New Roman"/>
          <w:sz w:val="22"/>
          <w:szCs w:val="22"/>
          <w:lang w:val="en-US"/>
        </w:rPr>
        <w:t>FECSKENDŐK EGYÉRTELMŰ CÍMKÉZÉSE (</w:t>
      </w:r>
      <w:r w:rsidRPr="00591626">
        <w:rPr>
          <w:rFonts w:cs="Times New Roman"/>
          <w:sz w:val="22"/>
          <w:szCs w:val="22"/>
        </w:rPr>
        <w:t>lásd 4.3, 4.4 és 6.6 pont</w:t>
      </w:r>
      <w:r w:rsidRPr="00591626">
        <w:rPr>
          <w:rFonts w:cs="Times New Roman"/>
          <w:sz w:val="22"/>
          <w:szCs w:val="22"/>
          <w:lang w:val="en-US"/>
        </w:rPr>
        <w:t>).</w:t>
      </w:r>
    </w:p>
    <w:p w14:paraId="2E9FB0E5" w14:textId="77777777" w:rsidR="00BF4BF6" w:rsidRPr="005924B5" w:rsidRDefault="00BF4BF6">
      <w:pPr>
        <w:spacing w:line="260" w:lineRule="exact"/>
        <w:rPr>
          <w:rFonts w:cs="Times New Roman"/>
          <w:b/>
          <w:bCs/>
          <w:sz w:val="22"/>
          <w:szCs w:val="22"/>
        </w:rPr>
      </w:pPr>
    </w:p>
    <w:p w14:paraId="3F5218B5" w14:textId="77777777" w:rsidR="00BF4BF6" w:rsidRPr="005924B5" w:rsidRDefault="00A64AAE">
      <w:pPr>
        <w:numPr>
          <w:ilvl w:val="1"/>
          <w:numId w:val="10"/>
        </w:num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Ellenjavallatok</w:t>
      </w:r>
    </w:p>
    <w:p w14:paraId="4B8AB796" w14:textId="77777777" w:rsidR="00BF4BF6" w:rsidRPr="005924B5" w:rsidRDefault="00BF4BF6">
      <w:pPr>
        <w:spacing w:line="260" w:lineRule="exact"/>
        <w:rPr>
          <w:rFonts w:cs="Times New Roman"/>
          <w:b/>
          <w:bCs/>
          <w:sz w:val="22"/>
          <w:szCs w:val="22"/>
        </w:rPr>
      </w:pPr>
    </w:p>
    <w:p w14:paraId="23B1DB8C" w14:textId="6280045C" w:rsidR="00BF4BF6" w:rsidRPr="005924B5" w:rsidRDefault="00A64AAE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 készítmény hatóanyagával vagy a 6.1 pontban felsorolt bármely segédanyagával</w:t>
      </w:r>
      <w:r w:rsidR="00EC25BF" w:rsidRPr="005924B5">
        <w:rPr>
          <w:rFonts w:cs="Times New Roman"/>
          <w:sz w:val="22"/>
          <w:szCs w:val="22"/>
        </w:rPr>
        <w:t xml:space="preserve"> szembeni túlérzékenység</w:t>
      </w:r>
      <w:r w:rsidRPr="005924B5">
        <w:rPr>
          <w:rFonts w:cs="Times New Roman"/>
          <w:sz w:val="22"/>
          <w:szCs w:val="22"/>
        </w:rPr>
        <w:t>.</w:t>
      </w:r>
    </w:p>
    <w:p w14:paraId="79404C78" w14:textId="77777777" w:rsidR="00BF4BF6" w:rsidRPr="005924B5" w:rsidRDefault="00A64AAE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Akut vénás vagy artériás </w:t>
      </w:r>
      <w:proofErr w:type="spellStart"/>
      <w:r w:rsidRPr="005924B5">
        <w:rPr>
          <w:rFonts w:cs="Times New Roman"/>
          <w:sz w:val="22"/>
          <w:szCs w:val="22"/>
        </w:rPr>
        <w:t>thrombosis</w:t>
      </w:r>
      <w:proofErr w:type="spellEnd"/>
      <w:r w:rsidRPr="005924B5">
        <w:rPr>
          <w:rFonts w:cs="Times New Roman"/>
          <w:sz w:val="22"/>
          <w:szCs w:val="22"/>
        </w:rPr>
        <w:t xml:space="preserve"> (lásd 4.4 pont)</w:t>
      </w:r>
    </w:p>
    <w:p w14:paraId="32C283CB" w14:textId="77777777" w:rsidR="00BF4BF6" w:rsidRPr="005924B5" w:rsidRDefault="00A64AAE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Consumptiós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coagulopathia</w:t>
      </w:r>
      <w:proofErr w:type="spellEnd"/>
      <w:r w:rsidRPr="005924B5">
        <w:rPr>
          <w:rFonts w:cs="Times New Roman"/>
          <w:sz w:val="22"/>
          <w:szCs w:val="22"/>
        </w:rPr>
        <w:t xml:space="preserve"> miatti </w:t>
      </w:r>
      <w:proofErr w:type="spellStart"/>
      <w:r w:rsidRPr="005924B5">
        <w:rPr>
          <w:rFonts w:cs="Times New Roman"/>
          <w:sz w:val="22"/>
          <w:szCs w:val="22"/>
        </w:rPr>
        <w:t>fibrinolitikus</w:t>
      </w:r>
      <w:proofErr w:type="spellEnd"/>
      <w:r w:rsidRPr="005924B5">
        <w:rPr>
          <w:rFonts w:cs="Times New Roman"/>
          <w:sz w:val="22"/>
          <w:szCs w:val="22"/>
        </w:rPr>
        <w:t xml:space="preserve"> állapotok, kivéve azokat az eseteket, amikor a </w:t>
      </w:r>
      <w:proofErr w:type="spellStart"/>
      <w:r w:rsidRPr="005924B5">
        <w:rPr>
          <w:rFonts w:cs="Times New Roman"/>
          <w:sz w:val="22"/>
          <w:szCs w:val="22"/>
        </w:rPr>
        <w:t>fibrinolitikus</w:t>
      </w:r>
      <w:proofErr w:type="spellEnd"/>
      <w:r w:rsidRPr="005924B5">
        <w:rPr>
          <w:rFonts w:cs="Times New Roman"/>
          <w:sz w:val="22"/>
          <w:szCs w:val="22"/>
        </w:rPr>
        <w:t xml:space="preserve"> rendszer </w:t>
      </w:r>
      <w:proofErr w:type="spellStart"/>
      <w:r w:rsidRPr="005924B5">
        <w:rPr>
          <w:rFonts w:cs="Times New Roman"/>
          <w:sz w:val="22"/>
          <w:szCs w:val="22"/>
        </w:rPr>
        <w:t>predomináns</w:t>
      </w:r>
      <w:proofErr w:type="spellEnd"/>
      <w:r w:rsidRPr="005924B5">
        <w:rPr>
          <w:rFonts w:cs="Times New Roman"/>
          <w:sz w:val="22"/>
          <w:szCs w:val="22"/>
        </w:rPr>
        <w:t xml:space="preserve"> aktiválása akut, súlyos vérzés miatt következik be (lásd 4.4 pont)</w:t>
      </w:r>
    </w:p>
    <w:p w14:paraId="6B46C14F" w14:textId="77777777" w:rsidR="00BF4BF6" w:rsidRPr="005924B5" w:rsidRDefault="00A64AAE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Súlyos vesekárosodás (akkumuláció veszélye)</w:t>
      </w:r>
    </w:p>
    <w:p w14:paraId="1472E73E" w14:textId="77777777" w:rsidR="00BF4BF6" w:rsidRPr="005924B5" w:rsidRDefault="00A64AAE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Convulsiók</w:t>
      </w:r>
      <w:proofErr w:type="spellEnd"/>
      <w:r w:rsidRPr="005924B5">
        <w:rPr>
          <w:rFonts w:cs="Times New Roman"/>
          <w:sz w:val="22"/>
          <w:szCs w:val="22"/>
        </w:rPr>
        <w:t xml:space="preserve"> az anamnézisben</w:t>
      </w:r>
    </w:p>
    <w:p w14:paraId="171DEC73" w14:textId="56C8184C" w:rsidR="00BF4BF6" w:rsidRPr="005924B5" w:rsidRDefault="00A64AAE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Intrathecalis</w:t>
      </w:r>
      <w:proofErr w:type="spellEnd"/>
      <w:r w:rsidR="00A14E47">
        <w:rPr>
          <w:rFonts w:cs="Times New Roman"/>
          <w:sz w:val="22"/>
          <w:szCs w:val="22"/>
        </w:rPr>
        <w:t>,</w:t>
      </w:r>
      <w:r w:rsidR="00A14E47" w:rsidRPr="00A14E47">
        <w:rPr>
          <w:rFonts w:cs="Times New Roman"/>
          <w:sz w:val="22"/>
          <w:szCs w:val="22"/>
        </w:rPr>
        <w:t xml:space="preserve"> </w:t>
      </w:r>
      <w:proofErr w:type="spellStart"/>
      <w:r w:rsidR="00A14E47" w:rsidRPr="00591626">
        <w:rPr>
          <w:rFonts w:cs="Times New Roman"/>
          <w:sz w:val="22"/>
          <w:szCs w:val="22"/>
        </w:rPr>
        <w:t>epiduralis</w:t>
      </w:r>
      <w:proofErr w:type="spellEnd"/>
      <w:r w:rsidR="00A14E47" w:rsidRPr="00591626">
        <w:rPr>
          <w:rFonts w:cs="Times New Roman"/>
          <w:sz w:val="22"/>
          <w:szCs w:val="22"/>
          <w:lang w:val="en-US"/>
        </w:rPr>
        <w:t>,</w:t>
      </w:r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intraventricularis</w:t>
      </w:r>
      <w:proofErr w:type="spellEnd"/>
      <w:r w:rsidRPr="005924B5">
        <w:rPr>
          <w:rFonts w:cs="Times New Roman"/>
          <w:sz w:val="22"/>
          <w:szCs w:val="22"/>
        </w:rPr>
        <w:t xml:space="preserve"> injekció</w:t>
      </w:r>
      <w:r w:rsidR="00A14E47">
        <w:rPr>
          <w:rFonts w:cs="Times New Roman"/>
          <w:sz w:val="22"/>
          <w:szCs w:val="22"/>
        </w:rPr>
        <w:t xml:space="preserve"> és</w:t>
      </w:r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intracerebralis</w:t>
      </w:r>
      <w:proofErr w:type="spellEnd"/>
      <w:r w:rsidRPr="005924B5">
        <w:rPr>
          <w:rFonts w:cs="Times New Roman"/>
          <w:sz w:val="22"/>
          <w:szCs w:val="22"/>
        </w:rPr>
        <w:t xml:space="preserve"> alkalmazás (agyödéma</w:t>
      </w:r>
      <w:r w:rsidR="00A14E47">
        <w:rPr>
          <w:rFonts w:cs="Times New Roman"/>
          <w:sz w:val="22"/>
          <w:szCs w:val="22"/>
        </w:rPr>
        <w:t xml:space="preserve">, </w:t>
      </w:r>
      <w:proofErr w:type="spellStart"/>
      <w:r w:rsidRPr="005924B5">
        <w:rPr>
          <w:rFonts w:cs="Times New Roman"/>
          <w:sz w:val="22"/>
          <w:szCs w:val="22"/>
        </w:rPr>
        <w:t>convulsiók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r w:rsidR="00A14E47" w:rsidRPr="00591626">
        <w:rPr>
          <w:rFonts w:cs="Times New Roman"/>
          <w:sz w:val="22"/>
          <w:szCs w:val="22"/>
        </w:rPr>
        <w:t>és halál kockázata miatt</w:t>
      </w:r>
      <w:r w:rsidRPr="005924B5">
        <w:rPr>
          <w:rFonts w:cs="Times New Roman"/>
          <w:sz w:val="22"/>
          <w:szCs w:val="22"/>
        </w:rPr>
        <w:t>).</w:t>
      </w:r>
    </w:p>
    <w:p w14:paraId="7204B0B8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8FC84D8" w14:textId="77777777" w:rsidR="00BF4BF6" w:rsidRPr="005924B5" w:rsidRDefault="00A64AAE">
      <w:pPr>
        <w:numPr>
          <w:ilvl w:val="1"/>
          <w:numId w:val="10"/>
        </w:num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Különleges figyelmeztetések és az alkalmazással kapcsolatos óvintézkedések</w:t>
      </w:r>
    </w:p>
    <w:p w14:paraId="4A813201" w14:textId="77777777" w:rsidR="00BF4BF6" w:rsidRPr="005924B5" w:rsidRDefault="00BF4BF6">
      <w:pPr>
        <w:spacing w:line="260" w:lineRule="exact"/>
        <w:rPr>
          <w:rFonts w:cs="Times New Roman"/>
          <w:b/>
          <w:bCs/>
          <w:sz w:val="22"/>
          <w:szCs w:val="22"/>
        </w:rPr>
      </w:pPr>
    </w:p>
    <w:p w14:paraId="59681A8B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javallatokat</w:t>
      </w:r>
      <w:proofErr w:type="spellEnd"/>
      <w:r w:rsidRPr="005924B5">
        <w:rPr>
          <w:rFonts w:cs="Times New Roman"/>
          <w:sz w:val="22"/>
          <w:szCs w:val="22"/>
        </w:rPr>
        <w:t xml:space="preserve"> és az alkalmazás módját a fent leírtaknak megfelelően szigorúan be kell tartani:</w:t>
      </w:r>
    </w:p>
    <w:p w14:paraId="09CF1998" w14:textId="77777777" w:rsidR="00BF4BF6" w:rsidRPr="005924B5" w:rsidRDefault="00A64AAE">
      <w:pPr>
        <w:numPr>
          <w:ilvl w:val="0"/>
          <w:numId w:val="15"/>
        </w:numPr>
        <w:tabs>
          <w:tab w:val="clear" w:pos="720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Az intravénás injekciót nagyon lassan kell beadni. </w:t>
      </w:r>
    </w:p>
    <w:p w14:paraId="6915A08D" w14:textId="77777777" w:rsidR="00BF4BF6" w:rsidRPr="005924B5" w:rsidRDefault="00A64AAE">
      <w:pPr>
        <w:numPr>
          <w:ilvl w:val="0"/>
          <w:numId w:val="15"/>
        </w:numPr>
        <w:tabs>
          <w:tab w:val="clear" w:pos="720"/>
          <w:tab w:val="num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intramuscularisan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r w:rsidRPr="005924B5">
        <w:rPr>
          <w:rFonts w:cs="Times New Roman"/>
          <w:b/>
          <w:bCs/>
          <w:sz w:val="22"/>
          <w:szCs w:val="22"/>
        </w:rPr>
        <w:t>nem adható</w:t>
      </w:r>
      <w:r w:rsidRPr="005924B5">
        <w:rPr>
          <w:rFonts w:cs="Times New Roman"/>
          <w:sz w:val="22"/>
          <w:szCs w:val="22"/>
        </w:rPr>
        <w:t>.</w:t>
      </w:r>
    </w:p>
    <w:p w14:paraId="7DBD343C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5E89DB08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proofErr w:type="spellStart"/>
      <w:r w:rsidRPr="005924B5">
        <w:rPr>
          <w:rFonts w:cs="Times New Roman"/>
          <w:sz w:val="22"/>
          <w:szCs w:val="22"/>
          <w:u w:val="single"/>
        </w:rPr>
        <w:t>Convulsiók</w:t>
      </w:r>
      <w:proofErr w:type="spellEnd"/>
    </w:p>
    <w:p w14:paraId="69A497B2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Görcsrohamokról szóló eseteket jelentettek a </w:t>
      </w:r>
      <w:proofErr w:type="spellStart"/>
      <w:r w:rsidRPr="005924B5">
        <w:rPr>
          <w:rFonts w:cs="Times New Roman"/>
          <w:sz w:val="22"/>
          <w:szCs w:val="22"/>
        </w:rPr>
        <w:t>tranexámsavval</w:t>
      </w:r>
      <w:proofErr w:type="spellEnd"/>
      <w:r w:rsidRPr="005924B5">
        <w:rPr>
          <w:rFonts w:cs="Times New Roman"/>
          <w:sz w:val="22"/>
          <w:szCs w:val="22"/>
        </w:rPr>
        <w:t xml:space="preserve"> történő kezeléssel összefüggésben. Coronaria </w:t>
      </w:r>
      <w:proofErr w:type="spellStart"/>
      <w:r w:rsidRPr="005924B5">
        <w:rPr>
          <w:rFonts w:cs="Times New Roman"/>
          <w:sz w:val="22"/>
          <w:szCs w:val="22"/>
        </w:rPr>
        <w:t>bypass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graft</w:t>
      </w:r>
      <w:proofErr w:type="spellEnd"/>
      <w:r w:rsidRPr="005924B5">
        <w:rPr>
          <w:rFonts w:cs="Times New Roman"/>
          <w:sz w:val="22"/>
          <w:szCs w:val="22"/>
        </w:rPr>
        <w:t xml:space="preserve"> (CABG) sebészeti beavatkozást követően fellépő görcsroham esetén, a legtöbb bejelentés nagy adagú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intravénás (iv.) injekcióként történő alkalmazásáról számolt be. Amennyiben az ajánlott alacsonyabb adagokat alkalmazták, az operációt követő görcsrohamok előfordulási gyakorisága megegyezett a nem kezelt betegekével.</w:t>
      </w:r>
    </w:p>
    <w:p w14:paraId="6A5C870A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AB582BD" w14:textId="77777777" w:rsidR="00BF4BF6" w:rsidRPr="005924B5" w:rsidRDefault="00A64AAE" w:rsidP="00A9229A">
      <w:pPr>
        <w:keepNext/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Szemészeti rendellenességek</w:t>
      </w:r>
    </w:p>
    <w:p w14:paraId="20659362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Fokozott figyelmet kell fordítani a szemészeti rendellenességekre, beleértve a látáskárosodást, homályos látást, károsodott színlátást, és amennyiben szükséges a kezelést meg kell szakítani. </w:t>
      </w:r>
      <w:proofErr w:type="spellStart"/>
      <w:r w:rsidRPr="005924B5">
        <w:rPr>
          <w:rFonts w:cs="Times New Roman"/>
          <w:sz w:val="22"/>
          <w:szCs w:val="22"/>
        </w:rPr>
        <w:t>Tranexámsavval</w:t>
      </w:r>
      <w:proofErr w:type="spellEnd"/>
      <w:r w:rsidRPr="005924B5">
        <w:rPr>
          <w:rFonts w:cs="Times New Roman"/>
          <w:sz w:val="22"/>
          <w:szCs w:val="22"/>
        </w:rPr>
        <w:t xml:space="preserve"> történő folyamatos és hosszú távú injekciós kezelés esetén rendszeres szemészeti vizsgálat (a szemvizsgálatokba beleértendő a látóképesség, színlátás, szemfenék és látótérvizsgálat) javasolt. Patológiás szemészeti elváltozás esetén, különösen retinabetegség esetén a kezelőorvosnak egyedileg, szakorvossal történő konzultációt követően kell döntenie a hosszú távú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noBreakHyphen/>
        <w:t>kezelés szükségességéről.</w:t>
      </w:r>
    </w:p>
    <w:p w14:paraId="73D3E0B4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22604BE2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proofErr w:type="spellStart"/>
      <w:r w:rsidRPr="005924B5">
        <w:rPr>
          <w:rFonts w:cs="Times New Roman"/>
          <w:sz w:val="22"/>
          <w:szCs w:val="22"/>
          <w:u w:val="single"/>
        </w:rPr>
        <w:t>Haematuria</w:t>
      </w:r>
      <w:proofErr w:type="spellEnd"/>
    </w:p>
    <w:p w14:paraId="634BE58E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húgyutak felső szakaszának vérzése esetén fennáll az </w:t>
      </w:r>
      <w:proofErr w:type="spellStart"/>
      <w:r w:rsidRPr="005924B5">
        <w:rPr>
          <w:rFonts w:cs="Times New Roman"/>
          <w:sz w:val="22"/>
          <w:szCs w:val="22"/>
        </w:rPr>
        <w:t>urethra</w:t>
      </w:r>
      <w:proofErr w:type="spellEnd"/>
      <w:r w:rsidRPr="005924B5">
        <w:rPr>
          <w:rFonts w:cs="Times New Roman"/>
          <w:sz w:val="22"/>
          <w:szCs w:val="22"/>
        </w:rPr>
        <w:t xml:space="preserve"> elzáródásának veszélye.</w:t>
      </w:r>
    </w:p>
    <w:p w14:paraId="71B26B39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64C86676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proofErr w:type="spellStart"/>
      <w:r w:rsidRPr="005924B5">
        <w:rPr>
          <w:rFonts w:cs="Times New Roman"/>
          <w:sz w:val="22"/>
          <w:szCs w:val="22"/>
          <w:u w:val="single"/>
        </w:rPr>
        <w:t>Thromboemboliás</w:t>
      </w:r>
      <w:proofErr w:type="spellEnd"/>
      <w:r w:rsidRPr="005924B5">
        <w:rPr>
          <w:rFonts w:cs="Times New Roman"/>
          <w:sz w:val="22"/>
          <w:szCs w:val="22"/>
          <w:u w:val="single"/>
        </w:rPr>
        <w:t xml:space="preserve"> események</w:t>
      </w:r>
    </w:p>
    <w:p w14:paraId="770FA756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alkalmazása előtt mérlegelni kell a </w:t>
      </w:r>
      <w:proofErr w:type="spellStart"/>
      <w:r w:rsidRPr="005924B5">
        <w:rPr>
          <w:rFonts w:cs="Times New Roman"/>
          <w:sz w:val="22"/>
          <w:szCs w:val="22"/>
        </w:rPr>
        <w:t>thromboemboliás</w:t>
      </w:r>
      <w:proofErr w:type="spellEnd"/>
      <w:r w:rsidRPr="005924B5">
        <w:rPr>
          <w:rFonts w:cs="Times New Roman"/>
          <w:sz w:val="22"/>
          <w:szCs w:val="22"/>
        </w:rPr>
        <w:t xml:space="preserve"> betegségekkel kapcsolatos kockázati tényezőket. Azon betegek esetén, akiknél korábban </w:t>
      </w:r>
      <w:proofErr w:type="spellStart"/>
      <w:r w:rsidRPr="005924B5">
        <w:rPr>
          <w:rFonts w:cs="Times New Roman"/>
          <w:sz w:val="22"/>
          <w:szCs w:val="22"/>
        </w:rPr>
        <w:t>thromboemboliás</w:t>
      </w:r>
      <w:proofErr w:type="spellEnd"/>
      <w:r w:rsidRPr="005924B5">
        <w:rPr>
          <w:rFonts w:cs="Times New Roman"/>
          <w:sz w:val="22"/>
          <w:szCs w:val="22"/>
        </w:rPr>
        <w:t xml:space="preserve"> esemény jelentkezett, vagy akiknél a családi anamnézisben fokozott a </w:t>
      </w:r>
      <w:proofErr w:type="spellStart"/>
      <w:r w:rsidRPr="005924B5">
        <w:rPr>
          <w:rFonts w:cs="Times New Roman"/>
          <w:sz w:val="22"/>
          <w:szCs w:val="22"/>
        </w:rPr>
        <w:t>thromboemboliás</w:t>
      </w:r>
      <w:proofErr w:type="spellEnd"/>
      <w:r w:rsidRPr="005924B5">
        <w:rPr>
          <w:rFonts w:cs="Times New Roman"/>
          <w:sz w:val="22"/>
          <w:szCs w:val="22"/>
        </w:rPr>
        <w:t xml:space="preserve"> események előfordulási valószínűsége (nagy kockázatú </w:t>
      </w:r>
      <w:proofErr w:type="spellStart"/>
      <w:r w:rsidRPr="005924B5">
        <w:rPr>
          <w:rFonts w:cs="Times New Roman"/>
          <w:sz w:val="22"/>
          <w:szCs w:val="22"/>
        </w:rPr>
        <w:t>thrombophiliás</w:t>
      </w:r>
      <w:proofErr w:type="spellEnd"/>
      <w:r w:rsidRPr="005924B5">
        <w:rPr>
          <w:rFonts w:cs="Times New Roman"/>
          <w:sz w:val="22"/>
          <w:szCs w:val="22"/>
        </w:rPr>
        <w:t xml:space="preserve"> betegek)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oldatos</w:t>
      </w:r>
      <w:proofErr w:type="spellEnd"/>
      <w:r w:rsidRPr="005924B5">
        <w:rPr>
          <w:rFonts w:cs="Times New Roman"/>
          <w:sz w:val="22"/>
          <w:szCs w:val="22"/>
        </w:rPr>
        <w:t xml:space="preserve"> injekció alkalmazása csak alapos orvosi indokkal, hematológus szakemberrel történő konzultációt követően, szoros orvosi felügyelet mellett szabad alkalmazni (lásd 4.3 pont). </w:t>
      </w:r>
    </w:p>
    <w:p w14:paraId="2E9392B7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Orális fogamzásgátlót szedő betegek esetében, a fokozott trombózisveszély miatt, a </w:t>
      </w:r>
      <w:proofErr w:type="spellStart"/>
      <w:r w:rsidRPr="005924B5">
        <w:rPr>
          <w:rFonts w:cs="Times New Roman"/>
          <w:sz w:val="22"/>
          <w:szCs w:val="22"/>
        </w:rPr>
        <w:t>tranexámsavat</w:t>
      </w:r>
      <w:proofErr w:type="spellEnd"/>
      <w:r w:rsidRPr="005924B5">
        <w:rPr>
          <w:rFonts w:cs="Times New Roman"/>
          <w:sz w:val="22"/>
          <w:szCs w:val="22"/>
        </w:rPr>
        <w:t xml:space="preserve"> óvatosan kell alkalmazni (lásd 4.5 pont).</w:t>
      </w:r>
    </w:p>
    <w:p w14:paraId="6E7055B6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66952226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proofErr w:type="spellStart"/>
      <w:r w:rsidRPr="005924B5">
        <w:rPr>
          <w:rFonts w:cs="Times New Roman"/>
          <w:sz w:val="22"/>
          <w:szCs w:val="22"/>
          <w:u w:val="single"/>
        </w:rPr>
        <w:t>Disseminált</w:t>
      </w:r>
      <w:proofErr w:type="spellEnd"/>
      <w:r w:rsidRPr="005924B5">
        <w:rPr>
          <w:rFonts w:cs="Times New Roman"/>
          <w:sz w:val="22"/>
          <w:szCs w:val="22"/>
          <w:u w:val="single"/>
        </w:rPr>
        <w:t xml:space="preserve"> </w:t>
      </w:r>
      <w:proofErr w:type="spellStart"/>
      <w:r w:rsidRPr="005924B5">
        <w:rPr>
          <w:rFonts w:cs="Times New Roman"/>
          <w:sz w:val="22"/>
          <w:szCs w:val="22"/>
          <w:u w:val="single"/>
        </w:rPr>
        <w:t>intravascularis</w:t>
      </w:r>
      <w:proofErr w:type="spellEnd"/>
      <w:r w:rsidRPr="005924B5">
        <w:rPr>
          <w:rFonts w:cs="Times New Roman"/>
          <w:sz w:val="22"/>
          <w:szCs w:val="22"/>
          <w:u w:val="single"/>
        </w:rPr>
        <w:t xml:space="preserve"> </w:t>
      </w:r>
      <w:proofErr w:type="spellStart"/>
      <w:r w:rsidRPr="005924B5">
        <w:rPr>
          <w:rFonts w:cs="Times New Roman"/>
          <w:sz w:val="22"/>
          <w:szCs w:val="22"/>
          <w:u w:val="single"/>
        </w:rPr>
        <w:t>coagulatio</w:t>
      </w:r>
      <w:proofErr w:type="spellEnd"/>
    </w:p>
    <w:p w14:paraId="024BEF63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Disseminált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intravascularis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coagulatióban</w:t>
      </w:r>
      <w:proofErr w:type="spellEnd"/>
      <w:r w:rsidRPr="005924B5">
        <w:rPr>
          <w:rFonts w:cs="Times New Roman"/>
          <w:sz w:val="22"/>
          <w:szCs w:val="22"/>
        </w:rPr>
        <w:t xml:space="preserve"> (DIC) szenvedő betegek esetén a legtöbb esetben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nem alkalmazható (lásd 4.3 pont). Amennyiben mégis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alkalmazására kerül sor, az kizárólag azoknak adható, akiknél a </w:t>
      </w:r>
      <w:proofErr w:type="spellStart"/>
      <w:r w:rsidRPr="005924B5">
        <w:rPr>
          <w:rFonts w:cs="Times New Roman"/>
          <w:sz w:val="22"/>
          <w:szCs w:val="22"/>
        </w:rPr>
        <w:t>fibrinolitikus</w:t>
      </w:r>
      <w:proofErr w:type="spellEnd"/>
      <w:r w:rsidRPr="005924B5">
        <w:rPr>
          <w:rFonts w:cs="Times New Roman"/>
          <w:sz w:val="22"/>
          <w:szCs w:val="22"/>
        </w:rPr>
        <w:t xml:space="preserve"> rendszer </w:t>
      </w:r>
      <w:proofErr w:type="spellStart"/>
      <w:r w:rsidRPr="005924B5">
        <w:rPr>
          <w:rFonts w:cs="Times New Roman"/>
          <w:sz w:val="22"/>
          <w:szCs w:val="22"/>
        </w:rPr>
        <w:t>predomináns</w:t>
      </w:r>
      <w:proofErr w:type="spellEnd"/>
      <w:r w:rsidRPr="005924B5">
        <w:rPr>
          <w:rFonts w:cs="Times New Roman"/>
          <w:sz w:val="22"/>
          <w:szCs w:val="22"/>
        </w:rPr>
        <w:t xml:space="preserve"> aktiválása áll fenn akut, súlyos vérzés következtében. A hematológiai profil jellemzően a következőképpen alakul: csökkent </w:t>
      </w:r>
      <w:proofErr w:type="spellStart"/>
      <w:r w:rsidRPr="005924B5">
        <w:rPr>
          <w:rFonts w:cs="Times New Roman"/>
          <w:sz w:val="22"/>
          <w:szCs w:val="22"/>
        </w:rPr>
        <w:t>euglobulin</w:t>
      </w:r>
      <w:proofErr w:type="spellEnd"/>
      <w:r w:rsidRPr="005924B5">
        <w:rPr>
          <w:rFonts w:cs="Times New Roman"/>
          <w:sz w:val="22"/>
          <w:szCs w:val="22"/>
        </w:rPr>
        <w:t xml:space="preserve"> rögoldási idő; megnyúlt </w:t>
      </w:r>
      <w:proofErr w:type="spellStart"/>
      <w:r w:rsidRPr="005924B5">
        <w:rPr>
          <w:rFonts w:cs="Times New Roman"/>
          <w:sz w:val="22"/>
          <w:szCs w:val="22"/>
        </w:rPr>
        <w:t>protrombinidő</w:t>
      </w:r>
      <w:proofErr w:type="spellEnd"/>
      <w:r w:rsidRPr="005924B5">
        <w:rPr>
          <w:rFonts w:cs="Times New Roman"/>
          <w:sz w:val="22"/>
          <w:szCs w:val="22"/>
        </w:rPr>
        <w:t xml:space="preserve">; csökkent </w:t>
      </w:r>
      <w:proofErr w:type="spellStart"/>
      <w:r w:rsidRPr="005924B5">
        <w:rPr>
          <w:rFonts w:cs="Times New Roman"/>
          <w:sz w:val="22"/>
          <w:szCs w:val="22"/>
        </w:rPr>
        <w:t>fibrinogén</w:t>
      </w:r>
      <w:proofErr w:type="spellEnd"/>
      <w:r w:rsidRPr="005924B5">
        <w:rPr>
          <w:rFonts w:cs="Times New Roman"/>
          <w:sz w:val="22"/>
          <w:szCs w:val="22"/>
        </w:rPr>
        <w:t xml:space="preserve">, V. és VIII. faktor, </w:t>
      </w:r>
      <w:proofErr w:type="spellStart"/>
      <w:r w:rsidRPr="005924B5">
        <w:rPr>
          <w:rFonts w:cs="Times New Roman"/>
          <w:sz w:val="22"/>
          <w:szCs w:val="22"/>
        </w:rPr>
        <w:t>plazminogén</w:t>
      </w:r>
      <w:proofErr w:type="spellEnd"/>
      <w:r w:rsidRPr="005924B5">
        <w:rPr>
          <w:rFonts w:cs="Times New Roman"/>
          <w:sz w:val="22"/>
          <w:szCs w:val="22"/>
        </w:rPr>
        <w:t xml:space="preserve">, </w:t>
      </w:r>
      <w:proofErr w:type="spellStart"/>
      <w:r w:rsidRPr="005924B5">
        <w:rPr>
          <w:rFonts w:cs="Times New Roman"/>
          <w:sz w:val="22"/>
          <w:szCs w:val="22"/>
        </w:rPr>
        <w:t>fibrinolizin</w:t>
      </w:r>
      <w:proofErr w:type="spellEnd"/>
      <w:r w:rsidRPr="005924B5">
        <w:rPr>
          <w:rFonts w:cs="Times New Roman"/>
          <w:sz w:val="22"/>
          <w:szCs w:val="22"/>
        </w:rPr>
        <w:t xml:space="preserve"> és alfa</w:t>
      </w:r>
      <w:r w:rsidRPr="005924B5">
        <w:rPr>
          <w:rFonts w:cs="Times New Roman"/>
          <w:sz w:val="22"/>
          <w:szCs w:val="22"/>
        </w:rPr>
        <w:noBreakHyphen/>
        <w:t>2</w:t>
      </w:r>
      <w:r w:rsidRPr="005924B5">
        <w:rPr>
          <w:rFonts w:cs="Times New Roman"/>
          <w:sz w:val="22"/>
          <w:szCs w:val="22"/>
        </w:rPr>
        <w:noBreakHyphen/>
        <w:t>makroglobulin plazmaszintek; normális P és P</w:t>
      </w:r>
      <w:r w:rsidRPr="005924B5">
        <w:rPr>
          <w:rFonts w:cs="Times New Roman"/>
          <w:sz w:val="22"/>
          <w:szCs w:val="22"/>
        </w:rPr>
        <w:noBreakHyphen/>
        <w:t>komplex plazmaszintek (a II faktor [</w:t>
      </w:r>
      <w:proofErr w:type="spellStart"/>
      <w:r w:rsidRPr="005924B5">
        <w:rPr>
          <w:rFonts w:cs="Times New Roman"/>
          <w:sz w:val="22"/>
          <w:szCs w:val="22"/>
        </w:rPr>
        <w:t>protrombin</w:t>
      </w:r>
      <w:proofErr w:type="spellEnd"/>
      <w:r w:rsidRPr="005924B5">
        <w:rPr>
          <w:rFonts w:cs="Times New Roman"/>
          <w:sz w:val="22"/>
          <w:szCs w:val="22"/>
        </w:rPr>
        <w:t xml:space="preserve">], VII. és X. faktor), a </w:t>
      </w:r>
      <w:proofErr w:type="spellStart"/>
      <w:r w:rsidRPr="005924B5">
        <w:rPr>
          <w:rFonts w:cs="Times New Roman"/>
          <w:sz w:val="22"/>
          <w:szCs w:val="22"/>
        </w:rPr>
        <w:t>fibrinogén</w:t>
      </w:r>
      <w:proofErr w:type="spellEnd"/>
      <w:r w:rsidRPr="005924B5">
        <w:rPr>
          <w:rFonts w:cs="Times New Roman"/>
          <w:sz w:val="22"/>
          <w:szCs w:val="22"/>
        </w:rPr>
        <w:t xml:space="preserve"> lebontási termékek emelkedett plazmaszintje, normális vérlemezkeszám. Az előbbiekben leírtak alapján feltételezhető, hogy maga az alapbetegség nem befolyásolja ezen profil különböző elemeit. Fenti akut esetekben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egyszeri 1 g</w:t>
      </w:r>
      <w:r w:rsidRPr="005924B5">
        <w:rPr>
          <w:rFonts w:cs="Times New Roman"/>
          <w:sz w:val="22"/>
          <w:szCs w:val="22"/>
        </w:rPr>
        <w:noBreakHyphen/>
      </w:r>
      <w:proofErr w:type="spellStart"/>
      <w:r w:rsidRPr="005924B5">
        <w:rPr>
          <w:rFonts w:cs="Times New Roman"/>
          <w:sz w:val="22"/>
          <w:szCs w:val="22"/>
        </w:rPr>
        <w:t>os</w:t>
      </w:r>
      <w:proofErr w:type="spellEnd"/>
      <w:r w:rsidRPr="005924B5">
        <w:rPr>
          <w:rFonts w:cs="Times New Roman"/>
          <w:sz w:val="22"/>
          <w:szCs w:val="22"/>
        </w:rPr>
        <w:t xml:space="preserve"> adagja megfelelően kontrollálja a vérzést. DIC esetén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alkalmazása csak abban az esetben lehetséges, ha megfelelő hematológiai laboratóriumi körülmények és szakember áll rendelkezésre.</w:t>
      </w:r>
    </w:p>
    <w:p w14:paraId="362B6BCD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AD37237" w14:textId="77777777" w:rsidR="00BF4BF6" w:rsidRPr="00A9229A" w:rsidRDefault="00A64AAE">
      <w:pPr>
        <w:rPr>
          <w:rFonts w:cs="Times New Roman"/>
          <w:sz w:val="22"/>
          <w:szCs w:val="22"/>
          <w:u w:val="single"/>
        </w:rPr>
      </w:pPr>
      <w:r w:rsidRPr="00A9229A">
        <w:rPr>
          <w:rFonts w:cs="Times New Roman"/>
          <w:sz w:val="22"/>
          <w:szCs w:val="22"/>
          <w:u w:val="single"/>
        </w:rPr>
        <w:t xml:space="preserve">Akut veseelégtelenség kialakulása a post </w:t>
      </w:r>
      <w:proofErr w:type="spellStart"/>
      <w:r w:rsidRPr="00A9229A">
        <w:rPr>
          <w:rFonts w:cs="Times New Roman"/>
          <w:sz w:val="22"/>
          <w:szCs w:val="22"/>
          <w:u w:val="single"/>
        </w:rPr>
        <w:t>partum</w:t>
      </w:r>
      <w:proofErr w:type="spellEnd"/>
      <w:r w:rsidRPr="00A9229A">
        <w:rPr>
          <w:rFonts w:cs="Times New Roman"/>
          <w:sz w:val="22"/>
          <w:szCs w:val="22"/>
          <w:u w:val="single"/>
        </w:rPr>
        <w:t xml:space="preserve"> vérzés kezelésével összefüggésben</w:t>
      </w:r>
    </w:p>
    <w:p w14:paraId="5CD1712F" w14:textId="77777777" w:rsidR="00BF4BF6" w:rsidRPr="00A9229A" w:rsidRDefault="00A64AAE">
      <w:pPr>
        <w:rPr>
          <w:rFonts w:cs="Times New Roman"/>
          <w:sz w:val="22"/>
          <w:szCs w:val="22"/>
        </w:rPr>
      </w:pPr>
      <w:r w:rsidRPr="00A9229A">
        <w:rPr>
          <w:rFonts w:cs="Times New Roman"/>
          <w:sz w:val="22"/>
          <w:szCs w:val="22"/>
        </w:rPr>
        <w:t xml:space="preserve">Akut vesekárosodás (beleértve a </w:t>
      </w:r>
      <w:proofErr w:type="spellStart"/>
      <w:r w:rsidRPr="00A9229A">
        <w:rPr>
          <w:rFonts w:cs="Times New Roman"/>
          <w:sz w:val="22"/>
          <w:szCs w:val="22"/>
        </w:rPr>
        <w:t>corticalis</w:t>
      </w:r>
      <w:proofErr w:type="spellEnd"/>
      <w:r w:rsidRPr="00A9229A">
        <w:rPr>
          <w:rFonts w:cs="Times New Roman"/>
          <w:sz w:val="22"/>
          <w:szCs w:val="22"/>
        </w:rPr>
        <w:t xml:space="preserve"> </w:t>
      </w:r>
      <w:proofErr w:type="spellStart"/>
      <w:r w:rsidRPr="00A9229A">
        <w:rPr>
          <w:rFonts w:cs="Times New Roman"/>
          <w:sz w:val="22"/>
          <w:szCs w:val="22"/>
        </w:rPr>
        <w:t>necrosist</w:t>
      </w:r>
      <w:proofErr w:type="spellEnd"/>
      <w:r w:rsidRPr="00A9229A">
        <w:rPr>
          <w:rFonts w:cs="Times New Roman"/>
          <w:sz w:val="22"/>
          <w:szCs w:val="22"/>
        </w:rPr>
        <w:t xml:space="preserve"> is) eseteit jelentették a szülés utáni vérzés kezelésére 2 g-nál (</w:t>
      </w:r>
      <w:proofErr w:type="spellStart"/>
      <w:r w:rsidRPr="00A9229A">
        <w:rPr>
          <w:rFonts w:cs="Times New Roman"/>
          <w:sz w:val="22"/>
          <w:szCs w:val="22"/>
        </w:rPr>
        <w:t>összdózis</w:t>
      </w:r>
      <w:proofErr w:type="spellEnd"/>
      <w:r w:rsidRPr="00A9229A">
        <w:rPr>
          <w:rFonts w:cs="Times New Roman"/>
          <w:sz w:val="22"/>
          <w:szCs w:val="22"/>
        </w:rPr>
        <w:t xml:space="preserve">) nagyobb adagokban alkalmazott </w:t>
      </w:r>
      <w:proofErr w:type="spellStart"/>
      <w:r w:rsidRPr="00A9229A">
        <w:rPr>
          <w:rFonts w:cs="Times New Roman"/>
          <w:sz w:val="22"/>
          <w:szCs w:val="22"/>
        </w:rPr>
        <w:t>tranexámsavval</w:t>
      </w:r>
      <w:proofErr w:type="spellEnd"/>
      <w:r w:rsidRPr="00A9229A">
        <w:rPr>
          <w:rFonts w:cs="Times New Roman"/>
          <w:sz w:val="22"/>
          <w:szCs w:val="22"/>
        </w:rPr>
        <w:t xml:space="preserve"> kapcsolatban.</w:t>
      </w:r>
    </w:p>
    <w:p w14:paraId="69F003AB" w14:textId="77777777" w:rsidR="00BF4BF6" w:rsidRDefault="00A64AAE">
      <w:pPr>
        <w:spacing w:line="260" w:lineRule="exact"/>
        <w:rPr>
          <w:rFonts w:cs="Times New Roman"/>
          <w:sz w:val="22"/>
          <w:szCs w:val="22"/>
        </w:rPr>
      </w:pPr>
      <w:r w:rsidRPr="00A9229A">
        <w:rPr>
          <w:rFonts w:cs="Times New Roman"/>
          <w:sz w:val="22"/>
          <w:szCs w:val="22"/>
        </w:rPr>
        <w:t xml:space="preserve">Így óvintézkedésként, és amiatt, hogy az ok-okozati összefüggést nem lehetett kizárni a </w:t>
      </w:r>
      <w:proofErr w:type="spellStart"/>
      <w:r w:rsidRPr="00A9229A">
        <w:rPr>
          <w:rFonts w:cs="Times New Roman"/>
          <w:sz w:val="22"/>
          <w:szCs w:val="22"/>
        </w:rPr>
        <w:t>tranexámsav</w:t>
      </w:r>
      <w:proofErr w:type="spellEnd"/>
      <w:r w:rsidRPr="00A9229A">
        <w:rPr>
          <w:rFonts w:cs="Times New Roman"/>
          <w:sz w:val="22"/>
          <w:szCs w:val="22"/>
        </w:rPr>
        <w:t xml:space="preserve"> alkalmazása és az akut vesekárosodás kialakulása között, a </w:t>
      </w:r>
      <w:proofErr w:type="spellStart"/>
      <w:r w:rsidRPr="00A9229A">
        <w:rPr>
          <w:rFonts w:cs="Times New Roman"/>
          <w:sz w:val="22"/>
          <w:szCs w:val="22"/>
        </w:rPr>
        <w:t>tranexámsav</w:t>
      </w:r>
      <w:proofErr w:type="spellEnd"/>
      <w:r w:rsidRPr="00A9229A">
        <w:rPr>
          <w:rFonts w:cs="Times New Roman"/>
          <w:sz w:val="22"/>
          <w:szCs w:val="22"/>
        </w:rPr>
        <w:t xml:space="preserve"> 2 g-nál (</w:t>
      </w:r>
      <w:proofErr w:type="spellStart"/>
      <w:r w:rsidRPr="00A9229A">
        <w:rPr>
          <w:rFonts w:cs="Times New Roman"/>
          <w:sz w:val="22"/>
          <w:szCs w:val="22"/>
        </w:rPr>
        <w:t>összdózis</w:t>
      </w:r>
      <w:proofErr w:type="spellEnd"/>
      <w:r w:rsidRPr="00A9229A">
        <w:rPr>
          <w:rFonts w:cs="Times New Roman"/>
          <w:sz w:val="22"/>
          <w:szCs w:val="22"/>
        </w:rPr>
        <w:t>) nagyobb adagjait csak kellő óvatossággal szabad alkalmazni a szülést követő vérzés kezelésekor.</w:t>
      </w:r>
    </w:p>
    <w:p w14:paraId="6302F5ED" w14:textId="77777777" w:rsidR="00A21498" w:rsidRDefault="00A21498">
      <w:pPr>
        <w:spacing w:line="260" w:lineRule="exact"/>
        <w:rPr>
          <w:rFonts w:cs="Times New Roman"/>
          <w:sz w:val="22"/>
          <w:szCs w:val="22"/>
        </w:rPr>
      </w:pPr>
    </w:p>
    <w:p w14:paraId="3D684822" w14:textId="77777777" w:rsidR="00A21498" w:rsidRPr="00591626" w:rsidRDefault="00A21498" w:rsidP="00A21498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1626">
        <w:rPr>
          <w:rFonts w:cs="Times New Roman"/>
          <w:sz w:val="22"/>
          <w:szCs w:val="22"/>
          <w:u w:val="single"/>
        </w:rPr>
        <w:t>A helytelen alkalmazási módból eredő gyógyszerelési hibák kockázata</w:t>
      </w:r>
    </w:p>
    <w:p w14:paraId="0E0447B3" w14:textId="62069B39" w:rsidR="00A21498" w:rsidRPr="00591626" w:rsidRDefault="00A21498" w:rsidP="00A21498">
      <w:pPr>
        <w:spacing w:line="260" w:lineRule="exact"/>
        <w:rPr>
          <w:rFonts w:cs="Times New Roman"/>
          <w:sz w:val="22"/>
          <w:szCs w:val="22"/>
        </w:rPr>
      </w:pPr>
      <w:r w:rsidRPr="00591626">
        <w:rPr>
          <w:rFonts w:cs="Times New Roman"/>
          <w:sz w:val="22"/>
          <w:szCs w:val="22"/>
        </w:rPr>
        <w:t xml:space="preserve">Az </w:t>
      </w:r>
      <w:proofErr w:type="spellStart"/>
      <w:r w:rsidRPr="00F02C16">
        <w:rPr>
          <w:rFonts w:cs="Times New Roman"/>
          <w:sz w:val="22"/>
          <w:szCs w:val="22"/>
        </w:rPr>
        <w:t>Exacyl</w:t>
      </w:r>
      <w:proofErr w:type="spellEnd"/>
      <w:r w:rsidRPr="00F02C16">
        <w:rPr>
          <w:rFonts w:cs="Times New Roman"/>
          <w:sz w:val="22"/>
          <w:szCs w:val="22"/>
        </w:rPr>
        <w:t xml:space="preserve"> </w:t>
      </w:r>
      <w:proofErr w:type="spellStart"/>
      <w:r w:rsidRPr="00F02C16">
        <w:rPr>
          <w:rFonts w:cs="Times New Roman"/>
          <w:sz w:val="22"/>
          <w:szCs w:val="22"/>
        </w:rPr>
        <w:t>oldatos</w:t>
      </w:r>
      <w:proofErr w:type="spellEnd"/>
      <w:r w:rsidRPr="00F02C16">
        <w:rPr>
          <w:rFonts w:cs="Times New Roman"/>
          <w:sz w:val="22"/>
          <w:szCs w:val="22"/>
        </w:rPr>
        <w:t xml:space="preserve"> injekció</w:t>
      </w:r>
      <w:r w:rsidRPr="00591626">
        <w:rPr>
          <w:rFonts w:cs="Times New Roman"/>
          <w:sz w:val="22"/>
          <w:szCs w:val="22"/>
        </w:rPr>
        <w:t xml:space="preserve"> kizárólag intravénásan alkalmazható. Az </w:t>
      </w:r>
      <w:proofErr w:type="spellStart"/>
      <w:r w:rsidRPr="00F02C16">
        <w:rPr>
          <w:rFonts w:cs="Times New Roman"/>
          <w:sz w:val="22"/>
          <w:szCs w:val="22"/>
        </w:rPr>
        <w:t>Exacyl</w:t>
      </w:r>
      <w:proofErr w:type="spellEnd"/>
      <w:r w:rsidRPr="00F02C16">
        <w:rPr>
          <w:rFonts w:cs="Times New Roman"/>
          <w:sz w:val="22"/>
          <w:szCs w:val="22"/>
        </w:rPr>
        <w:t xml:space="preserve"> </w:t>
      </w:r>
      <w:proofErr w:type="spellStart"/>
      <w:r w:rsidRPr="00F02C16">
        <w:rPr>
          <w:rFonts w:cs="Times New Roman"/>
          <w:sz w:val="22"/>
          <w:szCs w:val="22"/>
        </w:rPr>
        <w:t>oldatos</w:t>
      </w:r>
      <w:proofErr w:type="spellEnd"/>
      <w:r w:rsidRPr="00F02C16">
        <w:rPr>
          <w:rFonts w:cs="Times New Roman"/>
          <w:sz w:val="22"/>
          <w:szCs w:val="22"/>
        </w:rPr>
        <w:t xml:space="preserve"> injekció</w:t>
      </w:r>
      <w:r w:rsidR="0089720F">
        <w:rPr>
          <w:rFonts w:cs="Times New Roman"/>
          <w:sz w:val="22"/>
          <w:szCs w:val="22"/>
        </w:rPr>
        <w:t xml:space="preserve"> </w:t>
      </w:r>
      <w:proofErr w:type="spellStart"/>
      <w:r w:rsidRPr="00591626">
        <w:rPr>
          <w:rFonts w:cs="Times New Roman"/>
          <w:sz w:val="22"/>
          <w:szCs w:val="22"/>
        </w:rPr>
        <w:t>intrathecalis</w:t>
      </w:r>
      <w:proofErr w:type="spellEnd"/>
      <w:r w:rsidRPr="00591626">
        <w:rPr>
          <w:rFonts w:cs="Times New Roman"/>
          <w:sz w:val="22"/>
          <w:szCs w:val="22"/>
        </w:rPr>
        <w:t xml:space="preserve">, </w:t>
      </w:r>
      <w:proofErr w:type="spellStart"/>
      <w:r w:rsidRPr="00591626">
        <w:rPr>
          <w:rFonts w:cs="Times New Roman"/>
          <w:sz w:val="22"/>
          <w:szCs w:val="22"/>
        </w:rPr>
        <w:t>epiduralis</w:t>
      </w:r>
      <w:proofErr w:type="spellEnd"/>
      <w:r w:rsidRPr="00591626">
        <w:rPr>
          <w:rFonts w:cs="Times New Roman"/>
          <w:sz w:val="22"/>
          <w:szCs w:val="22"/>
        </w:rPr>
        <w:t xml:space="preserve">, </w:t>
      </w:r>
      <w:proofErr w:type="spellStart"/>
      <w:r w:rsidRPr="00591626">
        <w:rPr>
          <w:rFonts w:cs="Times New Roman"/>
          <w:sz w:val="22"/>
          <w:szCs w:val="22"/>
        </w:rPr>
        <w:t>intraventricularis</w:t>
      </w:r>
      <w:proofErr w:type="spellEnd"/>
      <w:r w:rsidRPr="00591626">
        <w:rPr>
          <w:rFonts w:cs="Times New Roman"/>
          <w:sz w:val="22"/>
          <w:szCs w:val="22"/>
        </w:rPr>
        <w:t xml:space="preserve"> és </w:t>
      </w:r>
      <w:proofErr w:type="spellStart"/>
      <w:r w:rsidRPr="00591626">
        <w:rPr>
          <w:rFonts w:cs="Times New Roman"/>
          <w:sz w:val="22"/>
          <w:szCs w:val="22"/>
        </w:rPr>
        <w:t>intracerebralis</w:t>
      </w:r>
      <w:proofErr w:type="spellEnd"/>
      <w:r w:rsidRPr="00591626">
        <w:rPr>
          <w:rFonts w:cs="Times New Roman"/>
          <w:sz w:val="22"/>
          <w:szCs w:val="22"/>
        </w:rPr>
        <w:t xml:space="preserve"> alkalmazása ellenjavallt (lásd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>4.3</w:t>
      </w:r>
      <w:r w:rsidR="0089720F">
        <w:rPr>
          <w:rFonts w:cs="Times New Roman"/>
          <w:sz w:val="22"/>
          <w:szCs w:val="22"/>
        </w:rPr>
        <w:t> </w:t>
      </w:r>
      <w:r w:rsidRPr="00591626">
        <w:rPr>
          <w:rFonts w:cs="Times New Roman"/>
          <w:sz w:val="22"/>
          <w:szCs w:val="22"/>
        </w:rPr>
        <w:t>pont). Súlyos, köztük halálos kimenetelű mellékhatásokat is jelentettek, amikor a</w:t>
      </w:r>
      <w:r w:rsidR="0089720F">
        <w:rPr>
          <w:rFonts w:cs="Times New Roman"/>
          <w:sz w:val="22"/>
          <w:szCs w:val="22"/>
        </w:rPr>
        <w:t xml:space="preserve"> </w:t>
      </w:r>
      <w:proofErr w:type="spellStart"/>
      <w:r w:rsidRPr="00591626">
        <w:rPr>
          <w:rFonts w:cs="Times New Roman"/>
          <w:sz w:val="22"/>
          <w:szCs w:val="22"/>
        </w:rPr>
        <w:t>tranexámsavat</w:t>
      </w:r>
      <w:proofErr w:type="spellEnd"/>
      <w:r w:rsidRPr="00591626">
        <w:rPr>
          <w:rFonts w:cs="Times New Roman"/>
          <w:sz w:val="22"/>
          <w:szCs w:val="22"/>
        </w:rPr>
        <w:t xml:space="preserve"> véletlenül </w:t>
      </w:r>
      <w:proofErr w:type="spellStart"/>
      <w:r w:rsidRPr="00591626">
        <w:rPr>
          <w:rFonts w:cs="Times New Roman"/>
          <w:sz w:val="22"/>
          <w:szCs w:val="22"/>
        </w:rPr>
        <w:t>intrathecalisan</w:t>
      </w:r>
      <w:proofErr w:type="spellEnd"/>
      <w:r w:rsidRPr="00591626">
        <w:rPr>
          <w:rFonts w:cs="Times New Roman"/>
          <w:sz w:val="22"/>
          <w:szCs w:val="22"/>
        </w:rPr>
        <w:t xml:space="preserve"> alkalmazták. Ezek közé tartozott a súlyos hátfájás,</w:t>
      </w:r>
      <w:r w:rsidR="0089720F">
        <w:rPr>
          <w:rFonts w:cs="Times New Roman"/>
          <w:sz w:val="22"/>
          <w:szCs w:val="22"/>
        </w:rPr>
        <w:t xml:space="preserve"> </w:t>
      </w:r>
      <w:proofErr w:type="spellStart"/>
      <w:r w:rsidRPr="00591626">
        <w:rPr>
          <w:rFonts w:cs="Times New Roman"/>
          <w:sz w:val="22"/>
          <w:szCs w:val="22"/>
        </w:rPr>
        <w:t>glutealis</w:t>
      </w:r>
      <w:proofErr w:type="spellEnd"/>
      <w:r w:rsidRPr="00591626">
        <w:rPr>
          <w:rFonts w:cs="Times New Roman"/>
          <w:sz w:val="22"/>
          <w:szCs w:val="22"/>
        </w:rPr>
        <w:t xml:space="preserve"> és alsó végtagi fájdalom, a </w:t>
      </w:r>
      <w:proofErr w:type="spellStart"/>
      <w:r w:rsidRPr="00591626">
        <w:rPr>
          <w:rFonts w:cs="Times New Roman"/>
          <w:sz w:val="22"/>
          <w:szCs w:val="22"/>
        </w:rPr>
        <w:t>myoclonus</w:t>
      </w:r>
      <w:proofErr w:type="spellEnd"/>
      <w:r w:rsidRPr="00591626">
        <w:rPr>
          <w:rFonts w:cs="Times New Roman"/>
          <w:sz w:val="22"/>
          <w:szCs w:val="22"/>
        </w:rPr>
        <w:t>, a generalizált görcsrohamok, valamint a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>szívritmuszavarok előfordulása.</w:t>
      </w:r>
    </w:p>
    <w:p w14:paraId="22B0F43F" w14:textId="1C80EC48" w:rsidR="00A21498" w:rsidRPr="00591626" w:rsidRDefault="00A21498" w:rsidP="00A21498">
      <w:pPr>
        <w:spacing w:line="260" w:lineRule="exact"/>
        <w:rPr>
          <w:rFonts w:cs="Times New Roman"/>
          <w:sz w:val="22"/>
          <w:szCs w:val="22"/>
        </w:rPr>
      </w:pPr>
      <w:r w:rsidRPr="00591626">
        <w:rPr>
          <w:rFonts w:cs="Times New Roman"/>
          <w:sz w:val="22"/>
          <w:szCs w:val="22"/>
        </w:rPr>
        <w:t xml:space="preserve">Az </w:t>
      </w:r>
      <w:proofErr w:type="spellStart"/>
      <w:r w:rsidRPr="00F02C16">
        <w:rPr>
          <w:rFonts w:cs="Times New Roman"/>
          <w:sz w:val="22"/>
          <w:szCs w:val="22"/>
        </w:rPr>
        <w:t>Exacyl</w:t>
      </w:r>
      <w:proofErr w:type="spellEnd"/>
      <w:r w:rsidRPr="00F02C16">
        <w:rPr>
          <w:rFonts w:cs="Times New Roman"/>
          <w:sz w:val="22"/>
          <w:szCs w:val="22"/>
        </w:rPr>
        <w:t xml:space="preserve"> </w:t>
      </w:r>
      <w:proofErr w:type="spellStart"/>
      <w:r w:rsidRPr="00F02C16">
        <w:rPr>
          <w:rFonts w:cs="Times New Roman"/>
          <w:sz w:val="22"/>
          <w:szCs w:val="22"/>
        </w:rPr>
        <w:t>oldatos</w:t>
      </w:r>
      <w:proofErr w:type="spellEnd"/>
      <w:r w:rsidRPr="00F02C16">
        <w:rPr>
          <w:rFonts w:cs="Times New Roman"/>
          <w:sz w:val="22"/>
          <w:szCs w:val="22"/>
        </w:rPr>
        <w:t xml:space="preserve"> injekció</w:t>
      </w:r>
      <w:r w:rsidRPr="00591626">
        <w:rPr>
          <w:rFonts w:cs="Times New Roman"/>
          <w:sz w:val="22"/>
          <w:szCs w:val="22"/>
        </w:rPr>
        <w:t xml:space="preserve"> megfelelő alkalmazási módjának biztosítása érdekében fokozott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>körültekintéssel kell eljárni. Az egészségügyi szakembereknek tisztában kell lenniük azzal, hogy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 xml:space="preserve">fennáll az </w:t>
      </w:r>
      <w:proofErr w:type="spellStart"/>
      <w:r w:rsidRPr="00F02C16">
        <w:rPr>
          <w:rFonts w:cs="Times New Roman"/>
          <w:sz w:val="22"/>
          <w:szCs w:val="22"/>
        </w:rPr>
        <w:t>Exacyl</w:t>
      </w:r>
      <w:proofErr w:type="spellEnd"/>
      <w:r w:rsidRPr="00F02C16">
        <w:rPr>
          <w:rFonts w:cs="Times New Roman"/>
          <w:sz w:val="22"/>
          <w:szCs w:val="22"/>
        </w:rPr>
        <w:t xml:space="preserve"> </w:t>
      </w:r>
      <w:proofErr w:type="spellStart"/>
      <w:r w:rsidRPr="00F02C16">
        <w:rPr>
          <w:rFonts w:cs="Times New Roman"/>
          <w:sz w:val="22"/>
          <w:szCs w:val="22"/>
        </w:rPr>
        <w:t>oldatos</w:t>
      </w:r>
      <w:proofErr w:type="spellEnd"/>
      <w:r w:rsidRPr="00F02C16">
        <w:rPr>
          <w:rFonts w:cs="Times New Roman"/>
          <w:sz w:val="22"/>
          <w:szCs w:val="22"/>
        </w:rPr>
        <w:t xml:space="preserve"> injekció</w:t>
      </w:r>
      <w:r w:rsidRPr="00591626">
        <w:rPr>
          <w:rFonts w:cs="Times New Roman"/>
          <w:sz w:val="22"/>
          <w:szCs w:val="22"/>
        </w:rPr>
        <w:t xml:space="preserve"> és más, injekció formájában alkalmazott készítmények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 xml:space="preserve">összetévesztésének lehetősége, ami véletlen </w:t>
      </w:r>
      <w:proofErr w:type="spellStart"/>
      <w:r w:rsidRPr="00591626">
        <w:rPr>
          <w:rFonts w:cs="Times New Roman"/>
          <w:sz w:val="22"/>
          <w:szCs w:val="22"/>
        </w:rPr>
        <w:t>intrathecalis</w:t>
      </w:r>
      <w:proofErr w:type="spellEnd"/>
      <w:r w:rsidRPr="00591626">
        <w:rPr>
          <w:rFonts w:cs="Times New Roman"/>
          <w:sz w:val="22"/>
          <w:szCs w:val="22"/>
        </w:rPr>
        <w:t xml:space="preserve"> beadáshoz vezethet. Ez különösen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 xml:space="preserve">vonatkozik azokra az injekciós készítményekre, amelyeket a </w:t>
      </w:r>
      <w:proofErr w:type="spellStart"/>
      <w:r w:rsidRPr="00591626">
        <w:rPr>
          <w:rFonts w:cs="Times New Roman"/>
          <w:sz w:val="22"/>
          <w:szCs w:val="22"/>
        </w:rPr>
        <w:t>tranexámsav</w:t>
      </w:r>
      <w:proofErr w:type="spellEnd"/>
      <w:r w:rsidRPr="00591626">
        <w:rPr>
          <w:rFonts w:cs="Times New Roman"/>
          <w:sz w:val="22"/>
          <w:szCs w:val="22"/>
        </w:rPr>
        <w:t xml:space="preserve"> alkalmazásával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>azonos beavatkozás során</w:t>
      </w:r>
      <w:r w:rsidR="0089720F">
        <w:rPr>
          <w:rFonts w:cs="Times New Roman"/>
          <w:sz w:val="22"/>
          <w:szCs w:val="22"/>
        </w:rPr>
        <w:t>,</w:t>
      </w:r>
      <w:r w:rsidRPr="00591626">
        <w:rPr>
          <w:rFonts w:cs="Times New Roman"/>
          <w:sz w:val="22"/>
          <w:szCs w:val="22"/>
        </w:rPr>
        <w:t xml:space="preserve"> </w:t>
      </w:r>
      <w:proofErr w:type="spellStart"/>
      <w:r w:rsidRPr="00591626">
        <w:rPr>
          <w:rFonts w:cs="Times New Roman"/>
          <w:sz w:val="22"/>
          <w:szCs w:val="22"/>
        </w:rPr>
        <w:t>intrathecalisan</w:t>
      </w:r>
      <w:proofErr w:type="spellEnd"/>
      <w:r w:rsidRPr="00591626">
        <w:rPr>
          <w:rFonts w:cs="Times New Roman"/>
          <w:sz w:val="22"/>
          <w:szCs w:val="22"/>
        </w:rPr>
        <w:t xml:space="preserve"> alkalmaznak.</w:t>
      </w:r>
    </w:p>
    <w:p w14:paraId="0BDE57F5" w14:textId="18F536B6" w:rsidR="00A21498" w:rsidRPr="00F02C16" w:rsidRDefault="00A21498" w:rsidP="00591626">
      <w:pPr>
        <w:widowControl/>
        <w:spacing w:line="260" w:lineRule="exact"/>
        <w:rPr>
          <w:rFonts w:cs="Times New Roman"/>
          <w:sz w:val="22"/>
          <w:szCs w:val="22"/>
        </w:rPr>
      </w:pPr>
      <w:r w:rsidRPr="00591626">
        <w:rPr>
          <w:rFonts w:cs="Times New Roman"/>
          <w:sz w:val="22"/>
          <w:szCs w:val="22"/>
        </w:rPr>
        <w:lastRenderedPageBreak/>
        <w:t xml:space="preserve">Az </w:t>
      </w:r>
      <w:proofErr w:type="spellStart"/>
      <w:r w:rsidRPr="00F02C16">
        <w:rPr>
          <w:rFonts w:cs="Times New Roman"/>
          <w:sz w:val="22"/>
          <w:szCs w:val="22"/>
        </w:rPr>
        <w:t>Exacyl</w:t>
      </w:r>
      <w:proofErr w:type="spellEnd"/>
      <w:r w:rsidRPr="00F02C16">
        <w:rPr>
          <w:rFonts w:cs="Times New Roman"/>
          <w:sz w:val="22"/>
          <w:szCs w:val="22"/>
        </w:rPr>
        <w:t xml:space="preserve"> </w:t>
      </w:r>
      <w:proofErr w:type="spellStart"/>
      <w:r w:rsidRPr="00F02C16">
        <w:rPr>
          <w:rFonts w:cs="Times New Roman"/>
          <w:sz w:val="22"/>
          <w:szCs w:val="22"/>
        </w:rPr>
        <w:t>oldatos</w:t>
      </w:r>
      <w:proofErr w:type="spellEnd"/>
      <w:r w:rsidRPr="00F02C16">
        <w:rPr>
          <w:rFonts w:cs="Times New Roman"/>
          <w:sz w:val="22"/>
          <w:szCs w:val="22"/>
        </w:rPr>
        <w:t xml:space="preserve"> injekció</w:t>
      </w:r>
      <w:r w:rsidRPr="00591626">
        <w:rPr>
          <w:rFonts w:cs="Times New Roman"/>
          <w:sz w:val="22"/>
          <w:szCs w:val="22"/>
        </w:rPr>
        <w:t xml:space="preserve"> készítményt tartalmazó fecskendők címkéjén egyértelműen fel kell</w:t>
      </w:r>
      <w:r w:rsidR="0089720F">
        <w:rPr>
          <w:rFonts w:cs="Times New Roman"/>
          <w:sz w:val="22"/>
          <w:szCs w:val="22"/>
        </w:rPr>
        <w:t xml:space="preserve"> </w:t>
      </w:r>
      <w:r w:rsidRPr="00591626">
        <w:rPr>
          <w:rFonts w:cs="Times New Roman"/>
          <w:sz w:val="22"/>
          <w:szCs w:val="22"/>
        </w:rPr>
        <w:t>tüntetni az intravénás alkalmazási módot.</w:t>
      </w:r>
    </w:p>
    <w:p w14:paraId="37C9B108" w14:textId="77777777" w:rsidR="00BF4BF6" w:rsidRPr="007B27E9" w:rsidRDefault="00BF4BF6">
      <w:pPr>
        <w:spacing w:line="260" w:lineRule="exact"/>
        <w:rPr>
          <w:rFonts w:cs="Times New Roman"/>
          <w:i/>
          <w:iCs/>
          <w:sz w:val="22"/>
          <w:szCs w:val="22"/>
        </w:rPr>
      </w:pPr>
    </w:p>
    <w:p w14:paraId="4F9947B0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4.5</w:t>
      </w:r>
      <w:r w:rsidRPr="005924B5">
        <w:rPr>
          <w:rFonts w:cs="Times New Roman"/>
          <w:b/>
          <w:bCs/>
          <w:sz w:val="22"/>
          <w:szCs w:val="22"/>
        </w:rPr>
        <w:tab/>
        <w:t>Gyógyszerkölcsönhatások és egyéb interakciók</w:t>
      </w:r>
    </w:p>
    <w:p w14:paraId="4660053A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6CB55730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eastAsia="Times New Roman" w:cs="Times New Roman"/>
          <w:sz w:val="22"/>
          <w:szCs w:val="22"/>
          <w:lang w:eastAsia="en-US"/>
        </w:rPr>
        <w:t xml:space="preserve">Interakciós vizsgálatokat nem végeztek. </w:t>
      </w:r>
      <w:proofErr w:type="spellStart"/>
      <w:r w:rsidRPr="005924B5">
        <w:rPr>
          <w:rFonts w:cs="Times New Roman"/>
          <w:sz w:val="22"/>
          <w:szCs w:val="22"/>
        </w:rPr>
        <w:t>Antikoagulánsokkal</w:t>
      </w:r>
      <w:proofErr w:type="spellEnd"/>
      <w:r w:rsidRPr="005924B5">
        <w:rPr>
          <w:rFonts w:cs="Times New Roman"/>
          <w:sz w:val="22"/>
          <w:szCs w:val="22"/>
        </w:rPr>
        <w:t xml:space="preserve"> történő egyidejű kezelés csak a szakterületen jártas orvos szigorú felügyelete mellett történhet. A </w:t>
      </w:r>
      <w:proofErr w:type="spellStart"/>
      <w:r w:rsidRPr="005924B5">
        <w:rPr>
          <w:rFonts w:cs="Times New Roman"/>
          <w:sz w:val="22"/>
          <w:szCs w:val="22"/>
        </w:rPr>
        <w:t>hemosztázisra</w:t>
      </w:r>
      <w:proofErr w:type="spellEnd"/>
      <w:r w:rsidRPr="005924B5">
        <w:rPr>
          <w:rFonts w:cs="Times New Roman"/>
          <w:sz w:val="22"/>
          <w:szCs w:val="22"/>
        </w:rPr>
        <w:t xml:space="preserve"> ható gyógyszereket óvatosan kell alkalmazni </w:t>
      </w:r>
      <w:proofErr w:type="spellStart"/>
      <w:r w:rsidRPr="005924B5">
        <w:rPr>
          <w:rFonts w:cs="Times New Roman"/>
          <w:sz w:val="22"/>
          <w:szCs w:val="22"/>
        </w:rPr>
        <w:t>tranexámsavval</w:t>
      </w:r>
      <w:proofErr w:type="spellEnd"/>
      <w:r w:rsidRPr="005924B5">
        <w:rPr>
          <w:rFonts w:cs="Times New Roman"/>
          <w:sz w:val="22"/>
          <w:szCs w:val="22"/>
        </w:rPr>
        <w:t xml:space="preserve"> kezelt betegek esetén. Ösztrogén-kezeléshez hasonlóan elméletileg fennáll a rögképződés veszélye. A gyógyszer </w:t>
      </w:r>
      <w:proofErr w:type="spellStart"/>
      <w:r w:rsidRPr="005924B5">
        <w:rPr>
          <w:rFonts w:cs="Times New Roman"/>
          <w:sz w:val="22"/>
          <w:szCs w:val="22"/>
        </w:rPr>
        <w:t>antifibrinolitikus</w:t>
      </w:r>
      <w:proofErr w:type="spellEnd"/>
      <w:r w:rsidRPr="005924B5">
        <w:rPr>
          <w:rFonts w:cs="Times New Roman"/>
          <w:sz w:val="22"/>
          <w:szCs w:val="22"/>
        </w:rPr>
        <w:t xml:space="preserve"> hatását </w:t>
      </w:r>
      <w:proofErr w:type="spellStart"/>
      <w:r w:rsidRPr="005924B5">
        <w:rPr>
          <w:rFonts w:cs="Times New Roman"/>
          <w:sz w:val="22"/>
          <w:szCs w:val="22"/>
        </w:rPr>
        <w:t>trombolitikummal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antagonizálhatjuk</w:t>
      </w:r>
      <w:proofErr w:type="spellEnd"/>
      <w:r w:rsidRPr="005924B5">
        <w:rPr>
          <w:rFonts w:cs="Times New Roman"/>
          <w:sz w:val="22"/>
          <w:szCs w:val="22"/>
        </w:rPr>
        <w:t>.</w:t>
      </w:r>
    </w:p>
    <w:p w14:paraId="03DEB378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1197ACC8" w14:textId="77777777" w:rsidR="00BF4BF6" w:rsidRPr="005924B5" w:rsidRDefault="00A64AAE">
      <w:pPr>
        <w:spacing w:line="260" w:lineRule="exact"/>
        <w:ind w:left="-15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4.6</w:t>
      </w:r>
      <w:r w:rsidRPr="005924B5">
        <w:rPr>
          <w:rFonts w:cs="Times New Roman"/>
          <w:b/>
          <w:bCs/>
          <w:sz w:val="22"/>
          <w:szCs w:val="22"/>
        </w:rPr>
        <w:tab/>
        <w:t>Termékenység, terhesség és szoptatás</w:t>
      </w:r>
    </w:p>
    <w:p w14:paraId="02CC3240" w14:textId="77777777" w:rsidR="00BF4BF6" w:rsidRPr="005924B5" w:rsidRDefault="00BF4BF6">
      <w:pPr>
        <w:spacing w:line="260" w:lineRule="exact"/>
        <w:ind w:left="-15"/>
        <w:rPr>
          <w:rFonts w:cs="Times New Roman"/>
          <w:i/>
          <w:iCs/>
          <w:sz w:val="22"/>
          <w:szCs w:val="22"/>
        </w:rPr>
      </w:pPr>
    </w:p>
    <w:p w14:paraId="6EB08090" w14:textId="77777777" w:rsidR="00BF4BF6" w:rsidRPr="005924B5" w:rsidRDefault="00A64AAE">
      <w:pPr>
        <w:spacing w:line="260" w:lineRule="exact"/>
        <w:ind w:left="-15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Fogamzóképes nőknek megfelelően hatékony fogamzásgátló módszert kell alkalmazniuk a kezelés ideje alatt.</w:t>
      </w:r>
    </w:p>
    <w:p w14:paraId="044100D1" w14:textId="77777777" w:rsidR="00BF4BF6" w:rsidRPr="005924B5" w:rsidRDefault="00BF4BF6">
      <w:pPr>
        <w:spacing w:line="260" w:lineRule="exact"/>
        <w:ind w:left="-15"/>
        <w:rPr>
          <w:rFonts w:cs="Times New Roman"/>
          <w:sz w:val="22"/>
          <w:szCs w:val="22"/>
        </w:rPr>
      </w:pPr>
    </w:p>
    <w:p w14:paraId="4CC8F691" w14:textId="6434256C" w:rsidR="00BF4BF6" w:rsidRPr="005924B5" w:rsidRDefault="00A64AAE">
      <w:pPr>
        <w:spacing w:line="260" w:lineRule="exact"/>
        <w:ind w:left="-15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Terhesség</w:t>
      </w:r>
    </w:p>
    <w:p w14:paraId="54A7EBB2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lang w:val="fi-FI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terhes nőknél történő alkalmazására vonatkozóan korlátozott mennyiségű információ áll rendelkezésre. Ennek megfelelően, bár állatkísérletek alapján </w:t>
      </w:r>
      <w:proofErr w:type="spellStart"/>
      <w:r w:rsidRPr="005924B5">
        <w:rPr>
          <w:rFonts w:cs="Times New Roman"/>
          <w:sz w:val="22"/>
          <w:szCs w:val="22"/>
        </w:rPr>
        <w:t>teratogén</w:t>
      </w:r>
      <w:proofErr w:type="spellEnd"/>
      <w:r w:rsidRPr="005924B5">
        <w:rPr>
          <w:rFonts w:cs="Times New Roman"/>
          <w:sz w:val="22"/>
          <w:szCs w:val="22"/>
        </w:rPr>
        <w:t xml:space="preserve"> hatása nincs, elővigyázatosságból az első trimeszterben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alkalmazása nem javasolt. Különböző </w:t>
      </w:r>
      <w:proofErr w:type="spellStart"/>
      <w:r w:rsidRPr="005924B5">
        <w:rPr>
          <w:rFonts w:cs="Times New Roman"/>
          <w:sz w:val="22"/>
          <w:szCs w:val="22"/>
        </w:rPr>
        <w:t>haemorrhagiás</w:t>
      </w:r>
      <w:proofErr w:type="spellEnd"/>
      <w:r w:rsidRPr="005924B5">
        <w:rPr>
          <w:rFonts w:cs="Times New Roman"/>
          <w:sz w:val="22"/>
          <w:szCs w:val="22"/>
        </w:rPr>
        <w:t xml:space="preserve"> állapotokban, a második és harmadik trimeszterben alkalmazott </w:t>
      </w:r>
      <w:proofErr w:type="spellStart"/>
      <w:r w:rsidRPr="005924B5">
        <w:rPr>
          <w:rFonts w:cs="Times New Roman"/>
          <w:sz w:val="22"/>
          <w:szCs w:val="22"/>
        </w:rPr>
        <w:t>tranexámsavról</w:t>
      </w:r>
      <w:proofErr w:type="spellEnd"/>
      <w:r w:rsidRPr="005924B5">
        <w:rPr>
          <w:rFonts w:cs="Times New Roman"/>
          <w:sz w:val="22"/>
          <w:szCs w:val="22"/>
        </w:rPr>
        <w:t xml:space="preserve"> rendelkezésre álló korlátozott klinikai tapasztalatok a magzat </w:t>
      </w:r>
      <w:proofErr w:type="spellStart"/>
      <w:r w:rsidRPr="005924B5">
        <w:rPr>
          <w:rFonts w:cs="Times New Roman"/>
          <w:sz w:val="22"/>
          <w:szCs w:val="22"/>
        </w:rPr>
        <w:t>kilökődésére</w:t>
      </w:r>
      <w:proofErr w:type="spellEnd"/>
      <w:r w:rsidRPr="005924B5">
        <w:rPr>
          <w:rFonts w:cs="Times New Roman"/>
          <w:sz w:val="22"/>
          <w:szCs w:val="22"/>
        </w:rPr>
        <w:t xml:space="preserve"> utaló hatást nem igazoltak.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alkalmazása az egész terhesség során csak abban az esetben javasolt, ha a várható előny felülmúlja a lehetséges kockázatot.</w:t>
      </w:r>
    </w:p>
    <w:p w14:paraId="4909EF65" w14:textId="77777777" w:rsidR="00BF4BF6" w:rsidRPr="005924B5" w:rsidRDefault="00BF4BF6">
      <w:pPr>
        <w:spacing w:line="260" w:lineRule="exact"/>
        <w:rPr>
          <w:rFonts w:cs="Times New Roman"/>
          <w:i/>
          <w:iCs/>
          <w:sz w:val="22"/>
          <w:szCs w:val="22"/>
        </w:rPr>
      </w:pPr>
    </w:p>
    <w:p w14:paraId="1D31C677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Szoptatás</w:t>
      </w:r>
    </w:p>
    <w:p w14:paraId="199795BB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megjelenik az anyatejben; ezért szoptatás alatt adása nem ajánlott.</w:t>
      </w:r>
    </w:p>
    <w:p w14:paraId="6757D9E2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04EA0B9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Termékenység</w:t>
      </w:r>
    </w:p>
    <w:p w14:paraId="5378A914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Nem állnak rendelkezésre klinikai adatok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termékenységre gyakorolt hatásairól.</w:t>
      </w:r>
    </w:p>
    <w:p w14:paraId="56FB563B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0327F9D7" w14:textId="77777777" w:rsidR="00BF4BF6" w:rsidRPr="005924B5" w:rsidRDefault="00A64AAE">
      <w:pPr>
        <w:keepNext/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4.7</w:t>
      </w:r>
      <w:r w:rsidRPr="005924B5">
        <w:rPr>
          <w:rFonts w:cs="Times New Roman"/>
          <w:b/>
          <w:bCs/>
          <w:sz w:val="22"/>
          <w:szCs w:val="22"/>
        </w:rPr>
        <w:tab/>
        <w:t>A készítmény hatásai a gépjárművezetéshez és a gépek kezeléséhez szükséges képességekre</w:t>
      </w:r>
    </w:p>
    <w:p w14:paraId="2FA86FDE" w14:textId="77777777" w:rsidR="00BF4BF6" w:rsidRPr="005924B5" w:rsidRDefault="00BF4BF6">
      <w:pPr>
        <w:keepNext/>
        <w:spacing w:line="260" w:lineRule="exact"/>
        <w:rPr>
          <w:rFonts w:cs="Times New Roman"/>
          <w:sz w:val="22"/>
          <w:szCs w:val="22"/>
        </w:rPr>
      </w:pPr>
    </w:p>
    <w:p w14:paraId="6BD86B6B" w14:textId="77777777" w:rsidR="00BF4BF6" w:rsidRPr="005924B5" w:rsidRDefault="00A64AAE">
      <w:pPr>
        <w:keepNext/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Nem vizsgálták a gépjárművezetéshez és a gépek kezeléséhez szükséges képességekre gyakorolt hatását.</w:t>
      </w:r>
    </w:p>
    <w:p w14:paraId="689DDB8F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0AFCE82D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4.8</w:t>
      </w:r>
      <w:r w:rsidRPr="005924B5">
        <w:rPr>
          <w:rFonts w:cs="Times New Roman"/>
          <w:b/>
          <w:bCs/>
          <w:sz w:val="22"/>
          <w:szCs w:val="22"/>
        </w:rPr>
        <w:tab/>
        <w:t>Nemkívánatos hatások, mellékhatások</w:t>
      </w:r>
    </w:p>
    <w:p w14:paraId="2363B70E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43724A1C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 klinikai vizsgálatokból és a forgalomba hozatalt követően szerzett tapasztalatokat szervrendszerek szerinti csoportosításban az alábbiakban soroljuk fel.</w:t>
      </w:r>
    </w:p>
    <w:p w14:paraId="1291EC97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  <w:u w:val="single"/>
        </w:rPr>
      </w:pPr>
    </w:p>
    <w:p w14:paraId="032E1D39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A mellékhatások táblázatos felsorolása</w:t>
      </w:r>
    </w:p>
    <w:p w14:paraId="1B23C84F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jelentett nemkívánatos hatásokat az alábbi táblázatban tüntettük fel. A nemkívánatos hatásokat a </w:t>
      </w:r>
      <w:proofErr w:type="spellStart"/>
      <w:r w:rsidRPr="005924B5">
        <w:rPr>
          <w:rFonts w:cs="Times New Roman"/>
          <w:sz w:val="22"/>
          <w:szCs w:val="22"/>
        </w:rPr>
        <w:t>MedDRA</w:t>
      </w:r>
      <w:proofErr w:type="spellEnd"/>
      <w:r w:rsidRPr="005924B5">
        <w:rPr>
          <w:rFonts w:cs="Times New Roman"/>
          <w:sz w:val="22"/>
          <w:szCs w:val="22"/>
        </w:rPr>
        <w:t xml:space="preserve"> szerinti szervrendszeri csoportosításban soroljuk fel. Minden egyes szervrendszeren belül a nemkívánatos hatásokat előfordulási gyakoriságuk szerint tüntettük fel. Az egyes gyakorisági kategóriákon belül a mellékhatások csökkenő súlyosság szerint kerülnek megadásra.</w:t>
      </w:r>
    </w:p>
    <w:p w14:paraId="46C845CF" w14:textId="77777777" w:rsidR="00BF4BF6" w:rsidRPr="007B27E9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Az előfordulási gyakoriságok értelmezése: nagyon gyakori (</w:t>
      </w:r>
      <w:r w:rsidRPr="00A9229A">
        <w:rPr>
          <w:rFonts w:cs="Times New Roman"/>
          <w:sz w:val="22"/>
          <w:szCs w:val="22"/>
        </w:rPr>
        <w:t>≥ </w:t>
      </w:r>
      <w:r w:rsidRPr="007B27E9">
        <w:rPr>
          <w:rFonts w:cs="Times New Roman"/>
          <w:sz w:val="22"/>
          <w:szCs w:val="22"/>
        </w:rPr>
        <w:t>1/10), gyakori (</w:t>
      </w:r>
      <w:r w:rsidRPr="00A9229A">
        <w:rPr>
          <w:rFonts w:cs="Times New Roman"/>
          <w:sz w:val="22"/>
          <w:szCs w:val="22"/>
        </w:rPr>
        <w:t>≥ </w:t>
      </w:r>
      <w:r w:rsidRPr="007B27E9">
        <w:rPr>
          <w:rFonts w:cs="Times New Roman"/>
          <w:sz w:val="22"/>
          <w:szCs w:val="22"/>
        </w:rPr>
        <w:t xml:space="preserve">1/100 </w:t>
      </w:r>
      <w:r w:rsidRPr="007B27E9">
        <w:rPr>
          <w:rFonts w:cs="Times New Roman"/>
          <w:sz w:val="22"/>
          <w:szCs w:val="22"/>
        </w:rPr>
        <w:noBreakHyphen/>
        <w:t xml:space="preserve"> &lt; 1/10), nem gyakori (</w:t>
      </w:r>
      <w:r w:rsidRPr="00A9229A">
        <w:rPr>
          <w:rFonts w:cs="Times New Roman"/>
          <w:sz w:val="22"/>
          <w:szCs w:val="22"/>
        </w:rPr>
        <w:t>≥ </w:t>
      </w:r>
      <w:r w:rsidRPr="007B27E9">
        <w:rPr>
          <w:rFonts w:cs="Times New Roman"/>
          <w:sz w:val="22"/>
          <w:szCs w:val="22"/>
        </w:rPr>
        <w:t xml:space="preserve">1/1000, </w:t>
      </w:r>
      <w:r w:rsidRPr="007B27E9">
        <w:rPr>
          <w:rFonts w:cs="Times New Roman"/>
          <w:sz w:val="22"/>
          <w:szCs w:val="22"/>
        </w:rPr>
        <w:noBreakHyphen/>
        <w:t xml:space="preserve"> &lt; /100), ritka(</w:t>
      </w:r>
      <w:r w:rsidRPr="00A9229A">
        <w:rPr>
          <w:rFonts w:cs="Times New Roman"/>
          <w:sz w:val="22"/>
          <w:szCs w:val="22"/>
        </w:rPr>
        <w:t>≥ </w:t>
      </w:r>
      <w:r w:rsidRPr="007B27E9">
        <w:rPr>
          <w:rFonts w:cs="Times New Roman"/>
          <w:sz w:val="22"/>
          <w:szCs w:val="22"/>
        </w:rPr>
        <w:t xml:space="preserve">1/10 000, </w:t>
      </w:r>
      <w:r w:rsidRPr="007B27E9">
        <w:rPr>
          <w:rFonts w:cs="Times New Roman"/>
          <w:sz w:val="22"/>
          <w:szCs w:val="22"/>
        </w:rPr>
        <w:noBreakHyphen/>
        <w:t xml:space="preserve"> &lt; 1/1000), nagyon ritka (</w:t>
      </w:r>
      <w:r w:rsidRPr="007B27E9">
        <w:rPr>
          <w:rFonts w:cs="Times New Roman"/>
          <w:sz w:val="22"/>
          <w:szCs w:val="22"/>
          <w:lang w:val="de-DE"/>
        </w:rPr>
        <w:sym w:font="Symbol" w:char="F0A3"/>
      </w:r>
      <w:r w:rsidRPr="00A9229A">
        <w:rPr>
          <w:rFonts w:cs="Times New Roman"/>
          <w:sz w:val="22"/>
          <w:szCs w:val="22"/>
        </w:rPr>
        <w:t> </w:t>
      </w:r>
      <w:r w:rsidRPr="007B27E9">
        <w:rPr>
          <w:rFonts w:cs="Times New Roman"/>
          <w:sz w:val="22"/>
          <w:szCs w:val="22"/>
        </w:rPr>
        <w:t>1/10 000), nem ismert (a rendelkezésre álló adatokból nem állapítható meg).</w:t>
      </w:r>
    </w:p>
    <w:p w14:paraId="0C2AEF25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1417"/>
        <w:gridCol w:w="4820"/>
      </w:tblGrid>
      <w:tr w:rsidR="00BF4BF6" w:rsidRPr="007B27E9" w14:paraId="7CAC346E" w14:textId="77777777">
        <w:tc>
          <w:tcPr>
            <w:tcW w:w="3369" w:type="dxa"/>
          </w:tcPr>
          <w:p w14:paraId="662502DB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5924B5">
              <w:rPr>
                <w:rFonts w:eastAsia="Times New Roman" w:cs="Times New Roman"/>
                <w:b/>
                <w:bCs/>
                <w:sz w:val="22"/>
                <w:szCs w:val="22"/>
              </w:rPr>
              <w:t>MedDRA</w:t>
            </w:r>
            <w:proofErr w:type="spellEnd"/>
            <w:r w:rsidRPr="005924B5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szerinti Szervrendszer</w:t>
            </w:r>
          </w:p>
        </w:tc>
        <w:tc>
          <w:tcPr>
            <w:tcW w:w="1417" w:type="dxa"/>
          </w:tcPr>
          <w:p w14:paraId="34EB700A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Gyakoriság</w:t>
            </w:r>
          </w:p>
        </w:tc>
        <w:tc>
          <w:tcPr>
            <w:tcW w:w="4820" w:type="dxa"/>
          </w:tcPr>
          <w:p w14:paraId="4735F95D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Nemkívánatos hatás</w:t>
            </w:r>
          </w:p>
        </w:tc>
      </w:tr>
      <w:tr w:rsidR="00BF4BF6" w:rsidRPr="007B27E9" w14:paraId="54B64502" w14:textId="77777777">
        <w:tc>
          <w:tcPr>
            <w:tcW w:w="3369" w:type="dxa"/>
          </w:tcPr>
          <w:p w14:paraId="75646362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1417" w:type="dxa"/>
          </w:tcPr>
          <w:p w14:paraId="2745975F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Nem ismert</w:t>
            </w:r>
          </w:p>
        </w:tc>
        <w:tc>
          <w:tcPr>
            <w:tcW w:w="4820" w:type="dxa"/>
          </w:tcPr>
          <w:p w14:paraId="33CCD93A" w14:textId="77777777" w:rsidR="00BF4BF6" w:rsidRPr="00A9229A" w:rsidRDefault="00A64AAE">
            <w:pPr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60" w:lineRule="exact"/>
              <w:ind w:left="459" w:hanging="425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 xml:space="preserve">Túlérzékenységi reakciók, akár </w:t>
            </w: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anaphylaxia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 xml:space="preserve"> is</w:t>
            </w:r>
          </w:p>
        </w:tc>
      </w:tr>
      <w:tr w:rsidR="00BF4BF6" w:rsidRPr="007B27E9" w14:paraId="27E15587" w14:textId="77777777">
        <w:tc>
          <w:tcPr>
            <w:tcW w:w="3369" w:type="dxa"/>
          </w:tcPr>
          <w:p w14:paraId="6F824DBE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1417" w:type="dxa"/>
          </w:tcPr>
          <w:p w14:paraId="74ED6110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Nem ismert</w:t>
            </w:r>
          </w:p>
        </w:tc>
        <w:tc>
          <w:tcPr>
            <w:tcW w:w="4820" w:type="dxa"/>
          </w:tcPr>
          <w:p w14:paraId="51B1AA5B" w14:textId="3F8C7E92" w:rsidR="00BF4BF6" w:rsidRPr="00A9229A" w:rsidRDefault="00A64AAE">
            <w:pPr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60" w:lineRule="exact"/>
              <w:ind w:left="459" w:hanging="425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Convulsiók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>, főleg helytelen alkalmazás következtében (lásd még</w:t>
            </w:r>
            <w:r w:rsidR="00F55A10" w:rsidRPr="007B27E9">
              <w:rPr>
                <w:rFonts w:eastAsia="Times New Roman" w:cs="Times New Roman"/>
                <w:sz w:val="22"/>
                <w:szCs w:val="22"/>
              </w:rPr>
              <w:t xml:space="preserve"> a</w:t>
            </w:r>
            <w:r w:rsidRPr="007B27E9">
              <w:rPr>
                <w:rFonts w:eastAsia="Times New Roman" w:cs="Times New Roman"/>
                <w:sz w:val="22"/>
                <w:szCs w:val="22"/>
              </w:rPr>
              <w:t xml:space="preserve"> 4.3 és 4.4 pontot)</w:t>
            </w:r>
          </w:p>
        </w:tc>
      </w:tr>
      <w:tr w:rsidR="00BF4BF6" w:rsidRPr="007B27E9" w14:paraId="010543EA" w14:textId="77777777">
        <w:tc>
          <w:tcPr>
            <w:tcW w:w="3369" w:type="dxa"/>
          </w:tcPr>
          <w:p w14:paraId="0A9AE82C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Szembetegségek és szemészeti tünetek</w:t>
            </w:r>
          </w:p>
        </w:tc>
        <w:tc>
          <w:tcPr>
            <w:tcW w:w="1417" w:type="dxa"/>
          </w:tcPr>
          <w:p w14:paraId="73C9A870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Nem ismert</w:t>
            </w:r>
          </w:p>
        </w:tc>
        <w:tc>
          <w:tcPr>
            <w:tcW w:w="4820" w:type="dxa"/>
          </w:tcPr>
          <w:p w14:paraId="1A4FC355" w14:textId="77777777" w:rsidR="00BF4BF6" w:rsidRPr="00A9229A" w:rsidRDefault="00A64AAE">
            <w:pPr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60" w:lineRule="exact"/>
              <w:ind w:left="459" w:hanging="425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Szemészeti rendellenességek, beleértve a színlátás romlását</w:t>
            </w:r>
          </w:p>
        </w:tc>
      </w:tr>
      <w:tr w:rsidR="00BF4BF6" w:rsidRPr="007B27E9" w14:paraId="30351BD4" w14:textId="77777777">
        <w:tc>
          <w:tcPr>
            <w:tcW w:w="3369" w:type="dxa"/>
          </w:tcPr>
          <w:p w14:paraId="420B05AE" w14:textId="77777777" w:rsidR="00BF4BF6" w:rsidRPr="00A9229A" w:rsidRDefault="00A64AAE" w:rsidP="00591626">
            <w:pPr>
              <w:keepNext/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lastRenderedPageBreak/>
              <w:t>Érbetegségek és tünetek</w:t>
            </w:r>
          </w:p>
        </w:tc>
        <w:tc>
          <w:tcPr>
            <w:tcW w:w="1417" w:type="dxa"/>
          </w:tcPr>
          <w:p w14:paraId="3BE5BB5B" w14:textId="77777777" w:rsidR="00BF4BF6" w:rsidRPr="00A9229A" w:rsidRDefault="00A64AAE" w:rsidP="00591626">
            <w:pPr>
              <w:keepNext/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Nem ismert</w:t>
            </w:r>
          </w:p>
        </w:tc>
        <w:tc>
          <w:tcPr>
            <w:tcW w:w="4820" w:type="dxa"/>
          </w:tcPr>
          <w:p w14:paraId="77515A83" w14:textId="77777777" w:rsidR="00BF4BF6" w:rsidRPr="00A9229A" w:rsidRDefault="00A64AAE" w:rsidP="00591626">
            <w:pPr>
              <w:keepNext/>
              <w:numPr>
                <w:ilvl w:val="0"/>
                <w:numId w:val="22"/>
              </w:numPr>
              <w:tabs>
                <w:tab w:val="num" w:pos="482"/>
              </w:tabs>
              <w:spacing w:line="260" w:lineRule="exact"/>
              <w:ind w:left="482" w:hanging="357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 xml:space="preserve">Gyengeség, </w:t>
            </w: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hypotensio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 xml:space="preserve"> eszméletvesztéssel (különösen, ha az intravénás injekciót túl gyorsan adják; </w:t>
            </w:r>
            <w:r w:rsidRPr="007B27E9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per </w:t>
            </w:r>
            <w:proofErr w:type="spellStart"/>
            <w:r w:rsidRPr="007B27E9">
              <w:rPr>
                <w:rFonts w:eastAsia="Times New Roman" w:cs="Times New Roman"/>
                <w:i/>
                <w:iCs/>
                <w:sz w:val="22"/>
                <w:szCs w:val="22"/>
              </w:rPr>
              <w:t>os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 xml:space="preserve"> alkalmazás után csak kivételesen jelentkezik), vagy anélkül előfordulhat.</w:t>
            </w:r>
          </w:p>
          <w:p w14:paraId="070A463C" w14:textId="77777777" w:rsidR="00BF4BF6" w:rsidRPr="00A9229A" w:rsidRDefault="00A64AAE" w:rsidP="00591626">
            <w:pPr>
              <w:keepNext/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60" w:lineRule="exact"/>
              <w:ind w:left="459" w:hanging="425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 xml:space="preserve">Artériás vagy vénás </w:t>
            </w: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thrombosis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 xml:space="preserve"> bárhol</w:t>
            </w:r>
          </w:p>
        </w:tc>
      </w:tr>
      <w:tr w:rsidR="00BF4BF6" w:rsidRPr="007B27E9" w14:paraId="5C24B83F" w14:textId="77777777">
        <w:tc>
          <w:tcPr>
            <w:tcW w:w="3369" w:type="dxa"/>
          </w:tcPr>
          <w:p w14:paraId="0079580E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Emésztőrendszeri betegségek és tünetek</w:t>
            </w:r>
          </w:p>
        </w:tc>
        <w:tc>
          <w:tcPr>
            <w:tcW w:w="1417" w:type="dxa"/>
          </w:tcPr>
          <w:p w14:paraId="4A33C1DD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Gyakori</w:t>
            </w:r>
          </w:p>
        </w:tc>
        <w:tc>
          <w:tcPr>
            <w:tcW w:w="4820" w:type="dxa"/>
          </w:tcPr>
          <w:p w14:paraId="3EA11EA4" w14:textId="77777777" w:rsidR="00BF4BF6" w:rsidRPr="00A9229A" w:rsidRDefault="00A64AAE" w:rsidP="00A9229A">
            <w:pPr>
              <w:numPr>
                <w:ilvl w:val="0"/>
                <w:numId w:val="23"/>
              </w:numPr>
              <w:tabs>
                <w:tab w:val="clear" w:pos="720"/>
                <w:tab w:val="num" w:pos="482"/>
              </w:tabs>
              <w:spacing w:line="260" w:lineRule="exact"/>
              <w:ind w:left="482" w:hanging="482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Hasmenés</w:t>
            </w:r>
          </w:p>
          <w:p w14:paraId="46215956" w14:textId="77777777" w:rsidR="00BF4BF6" w:rsidRPr="00A9229A" w:rsidRDefault="00A64AAE" w:rsidP="00A9229A">
            <w:pPr>
              <w:numPr>
                <w:ilvl w:val="0"/>
                <w:numId w:val="23"/>
              </w:numPr>
              <w:tabs>
                <w:tab w:val="clear" w:pos="720"/>
                <w:tab w:val="num" w:pos="482"/>
              </w:tabs>
              <w:spacing w:line="260" w:lineRule="exact"/>
              <w:ind w:left="482" w:hanging="482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Hányás</w:t>
            </w:r>
          </w:p>
          <w:p w14:paraId="086D1754" w14:textId="77777777" w:rsidR="00BF4BF6" w:rsidRPr="00A9229A" w:rsidRDefault="00A64AAE" w:rsidP="00A9229A">
            <w:pPr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60" w:lineRule="exact"/>
              <w:ind w:left="482" w:hanging="482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Hányinger</w:t>
            </w:r>
          </w:p>
        </w:tc>
      </w:tr>
      <w:tr w:rsidR="00BF4BF6" w:rsidRPr="007B27E9" w14:paraId="2ED969E6" w14:textId="77777777">
        <w:tc>
          <w:tcPr>
            <w:tcW w:w="3369" w:type="dxa"/>
            <w:vMerge w:val="restart"/>
          </w:tcPr>
          <w:p w14:paraId="07BD34B6" w14:textId="47EFF583" w:rsidR="00BF4BF6" w:rsidRPr="00A9229A" w:rsidRDefault="00A64AAE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A bőr és a bőr</w:t>
            </w:r>
            <w:r w:rsidR="006D0935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alatti szövet betegségei és tünetei</w:t>
            </w:r>
          </w:p>
        </w:tc>
        <w:tc>
          <w:tcPr>
            <w:tcW w:w="1417" w:type="dxa"/>
          </w:tcPr>
          <w:p w14:paraId="009BEC35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Nem gyakori</w:t>
            </w:r>
          </w:p>
        </w:tc>
        <w:tc>
          <w:tcPr>
            <w:tcW w:w="4820" w:type="dxa"/>
          </w:tcPr>
          <w:p w14:paraId="78C168AB" w14:textId="77777777" w:rsidR="00BF4BF6" w:rsidRPr="00A9229A" w:rsidRDefault="00A64AAE" w:rsidP="00A9229A">
            <w:pPr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60" w:lineRule="exact"/>
              <w:ind w:left="459" w:hanging="425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 xml:space="preserve">Allergiás </w:t>
            </w: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dermatitis</w:t>
            </w:r>
            <w:proofErr w:type="spellEnd"/>
          </w:p>
        </w:tc>
      </w:tr>
      <w:tr w:rsidR="00BF4BF6" w:rsidRPr="007B27E9" w14:paraId="5BC5C96F" w14:textId="77777777">
        <w:tc>
          <w:tcPr>
            <w:tcW w:w="3369" w:type="dxa"/>
            <w:vMerge/>
          </w:tcPr>
          <w:p w14:paraId="65C072A5" w14:textId="77777777" w:rsidR="00BF4BF6" w:rsidRPr="00A9229A" w:rsidRDefault="00BF4BF6">
            <w:pPr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22FB18D5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Nem ismert</w:t>
            </w:r>
          </w:p>
        </w:tc>
        <w:tc>
          <w:tcPr>
            <w:tcW w:w="4820" w:type="dxa"/>
          </w:tcPr>
          <w:p w14:paraId="15F464A5" w14:textId="77777777" w:rsidR="00BF4BF6" w:rsidRPr="00A9229A" w:rsidRDefault="00A64AAE" w:rsidP="00A9229A">
            <w:pPr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60" w:lineRule="exact"/>
              <w:ind w:left="459" w:hanging="425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Fix gyógyszerkiütés</w:t>
            </w:r>
          </w:p>
        </w:tc>
      </w:tr>
      <w:tr w:rsidR="00BF4BF6" w:rsidRPr="007B27E9" w14:paraId="14EB78D3" w14:textId="77777777">
        <w:tc>
          <w:tcPr>
            <w:tcW w:w="3369" w:type="dxa"/>
          </w:tcPr>
          <w:p w14:paraId="0F1DC12C" w14:textId="77777777" w:rsidR="00BF4BF6" w:rsidRPr="00A9229A" w:rsidRDefault="00A64AAE" w:rsidP="00A9229A">
            <w:pPr>
              <w:tabs>
                <w:tab w:val="num" w:pos="482"/>
              </w:tabs>
              <w:spacing w:line="260" w:lineRule="exact"/>
              <w:rPr>
                <w:rFonts w:eastAsia="Times New Roman" w:cs="Times New Roman"/>
                <w:b/>
                <w:bCs/>
                <w:sz w:val="22"/>
                <w:szCs w:val="22"/>
              </w:rPr>
            </w:pPr>
            <w:r w:rsidRPr="007B27E9">
              <w:rPr>
                <w:rFonts w:eastAsia="Times New Roman" w:cs="Times New Roman"/>
                <w:b/>
                <w:bCs/>
                <w:sz w:val="22"/>
                <w:szCs w:val="22"/>
              </w:rPr>
              <w:t>Vese- és húgyúti betegségek és tünetek</w:t>
            </w:r>
          </w:p>
        </w:tc>
        <w:tc>
          <w:tcPr>
            <w:tcW w:w="1417" w:type="dxa"/>
          </w:tcPr>
          <w:p w14:paraId="03886BB0" w14:textId="77777777" w:rsidR="00BF4BF6" w:rsidRPr="00A9229A" w:rsidRDefault="00A64AAE">
            <w:pPr>
              <w:spacing w:line="260" w:lineRule="exact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>Nem ismert</w:t>
            </w:r>
          </w:p>
        </w:tc>
        <w:tc>
          <w:tcPr>
            <w:tcW w:w="4820" w:type="dxa"/>
          </w:tcPr>
          <w:p w14:paraId="2397E2FB" w14:textId="570F4555" w:rsidR="00BF4BF6" w:rsidRPr="00A9229A" w:rsidRDefault="00A64AAE" w:rsidP="00A9229A">
            <w:pPr>
              <w:numPr>
                <w:ilvl w:val="0"/>
                <w:numId w:val="18"/>
              </w:numPr>
              <w:tabs>
                <w:tab w:val="clear" w:pos="720"/>
                <w:tab w:val="num" w:pos="459"/>
              </w:tabs>
              <w:spacing w:line="260" w:lineRule="exact"/>
              <w:ind w:left="459" w:hanging="425"/>
              <w:rPr>
                <w:rFonts w:eastAsia="Times New Roman" w:cs="Times New Roman"/>
                <w:sz w:val="22"/>
                <w:szCs w:val="22"/>
              </w:rPr>
            </w:pPr>
            <w:r w:rsidRPr="007B27E9">
              <w:rPr>
                <w:rFonts w:eastAsia="Times New Roman" w:cs="Times New Roman"/>
                <w:sz w:val="22"/>
                <w:szCs w:val="22"/>
              </w:rPr>
              <w:t xml:space="preserve">Akut </w:t>
            </w: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renalis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corticalis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B27E9">
              <w:rPr>
                <w:rFonts w:eastAsia="Times New Roman" w:cs="Times New Roman"/>
                <w:sz w:val="22"/>
                <w:szCs w:val="22"/>
              </w:rPr>
              <w:t>necrosis</w:t>
            </w:r>
            <w:proofErr w:type="spellEnd"/>
            <w:r w:rsidRPr="007B27E9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2886EEA0" w14:textId="77777777" w:rsidR="00BF4BF6" w:rsidRPr="007B27E9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5B7D3DE6" w14:textId="77777777" w:rsidR="00BF4BF6" w:rsidRPr="007B27E9" w:rsidRDefault="00A64AAE">
      <w:pPr>
        <w:rPr>
          <w:rFonts w:cs="Times New Roman"/>
          <w:sz w:val="22"/>
          <w:szCs w:val="22"/>
          <w:u w:val="single"/>
        </w:rPr>
      </w:pPr>
      <w:r w:rsidRPr="007B27E9">
        <w:rPr>
          <w:rFonts w:cs="Times New Roman"/>
          <w:sz w:val="22"/>
          <w:szCs w:val="22"/>
          <w:u w:val="single"/>
        </w:rPr>
        <w:t>Feltételezett mellékhatások bejelentése</w:t>
      </w:r>
    </w:p>
    <w:p w14:paraId="6EBC8F39" w14:textId="77777777" w:rsidR="00BF4BF6" w:rsidRPr="005924B5" w:rsidRDefault="00A64AAE">
      <w:pPr>
        <w:rPr>
          <w:rFonts w:cs="Times New Roman"/>
          <w:sz w:val="22"/>
          <w:szCs w:val="22"/>
        </w:rPr>
      </w:pPr>
      <w:r w:rsidRPr="007B27E9">
        <w:rPr>
          <w:rFonts w:cs="Times New Roman"/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2CF6269" w14:textId="1FF09AFC" w:rsidR="00BF4BF6" w:rsidRPr="007B27E9" w:rsidRDefault="00A64AAE" w:rsidP="00A9229A">
      <w:pPr>
        <w:widowControl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Az egészségügyi szakembereket kérjük, hogy jelentsék be a feltételezett mellékhatásokat a hatóság részére</w:t>
      </w:r>
      <w:r w:rsidR="00B069E6" w:rsidRPr="00B069E6">
        <w:rPr>
          <w:rFonts w:eastAsia="SimSun" w:cs="Times New Roman"/>
          <w:snapToGrid w:val="0"/>
          <w:color w:val="auto"/>
          <w:sz w:val="22"/>
          <w:szCs w:val="20"/>
        </w:rPr>
        <w:t xml:space="preserve"> az </w:t>
      </w:r>
      <w:hyperlink r:id="rId7" w:history="1">
        <w:r w:rsidR="00B069E6" w:rsidRPr="00B069E6">
          <w:rPr>
            <w:rFonts w:eastAsia="SimSun" w:cs="Times New Roman"/>
            <w:snapToGrid w:val="0"/>
            <w:color w:val="0000FF"/>
            <w:sz w:val="22"/>
            <w:szCs w:val="20"/>
            <w:highlight w:val="lightGray"/>
            <w:u w:val="single"/>
          </w:rPr>
          <w:t>V. füg</w:t>
        </w:r>
        <w:bookmarkStart w:id="1" w:name="_Hlt352075914"/>
        <w:bookmarkStart w:id="2" w:name="_Hlt352075915"/>
        <w:r w:rsidR="00B069E6" w:rsidRPr="00B069E6">
          <w:rPr>
            <w:rFonts w:eastAsia="SimSun" w:cs="Times New Roman"/>
            <w:snapToGrid w:val="0"/>
            <w:color w:val="0000FF"/>
            <w:sz w:val="22"/>
            <w:szCs w:val="20"/>
            <w:highlight w:val="lightGray"/>
            <w:u w:val="single"/>
          </w:rPr>
          <w:t>g</w:t>
        </w:r>
        <w:bookmarkEnd w:id="1"/>
        <w:bookmarkEnd w:id="2"/>
        <w:r w:rsidR="00B069E6" w:rsidRPr="00B069E6">
          <w:rPr>
            <w:rFonts w:eastAsia="SimSun" w:cs="Times New Roman"/>
            <w:snapToGrid w:val="0"/>
            <w:color w:val="0000FF"/>
            <w:sz w:val="22"/>
            <w:szCs w:val="20"/>
            <w:highlight w:val="lightGray"/>
            <w:u w:val="single"/>
          </w:rPr>
          <w:t>elékben</w:t>
        </w:r>
      </w:hyperlink>
      <w:r w:rsidR="00B069E6" w:rsidRPr="00B069E6">
        <w:rPr>
          <w:rFonts w:eastAsia="SimSun" w:cs="Times New Roman"/>
          <w:snapToGrid w:val="0"/>
          <w:color w:val="auto"/>
          <w:sz w:val="22"/>
          <w:szCs w:val="20"/>
          <w:highlight w:val="lightGray"/>
        </w:rPr>
        <w:t xml:space="preserve"> található elérhetőségek valamelyikén keresztül</w:t>
      </w:r>
      <w:r w:rsidRPr="007B27E9">
        <w:rPr>
          <w:rFonts w:cs="Times New Roman"/>
          <w:sz w:val="22"/>
          <w:szCs w:val="22"/>
        </w:rPr>
        <w:t>.</w:t>
      </w:r>
    </w:p>
    <w:p w14:paraId="6212414D" w14:textId="77777777" w:rsidR="00BF4BF6" w:rsidRPr="007B27E9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1601A82" w14:textId="77777777" w:rsidR="00BF4BF6" w:rsidRPr="007B27E9" w:rsidRDefault="00A64AAE" w:rsidP="00A9229A">
      <w:pPr>
        <w:keepNext/>
        <w:spacing w:line="260" w:lineRule="exact"/>
        <w:rPr>
          <w:rFonts w:cs="Times New Roman"/>
          <w:b/>
          <w:bCs/>
          <w:sz w:val="22"/>
          <w:szCs w:val="22"/>
        </w:rPr>
      </w:pPr>
      <w:r w:rsidRPr="007B27E9">
        <w:rPr>
          <w:rFonts w:cs="Times New Roman"/>
          <w:b/>
          <w:bCs/>
          <w:sz w:val="22"/>
          <w:szCs w:val="22"/>
        </w:rPr>
        <w:t>4.9</w:t>
      </w:r>
      <w:r w:rsidRPr="007B27E9">
        <w:rPr>
          <w:rFonts w:cs="Times New Roman"/>
          <w:b/>
          <w:bCs/>
          <w:sz w:val="22"/>
          <w:szCs w:val="22"/>
        </w:rPr>
        <w:tab/>
        <w:t>Túladagolás</w:t>
      </w:r>
    </w:p>
    <w:p w14:paraId="0EE5F0E1" w14:textId="77777777" w:rsidR="00BF4BF6" w:rsidRPr="007B27E9" w:rsidRDefault="00BF4BF6" w:rsidP="00A9229A">
      <w:pPr>
        <w:keepNext/>
        <w:spacing w:line="260" w:lineRule="exact"/>
        <w:rPr>
          <w:rFonts w:cs="Times New Roman"/>
          <w:sz w:val="22"/>
          <w:szCs w:val="22"/>
        </w:rPr>
      </w:pPr>
    </w:p>
    <w:p w14:paraId="2656A0C3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Túladagolással kapcsolatos esetet nem jelentettek.</w:t>
      </w:r>
    </w:p>
    <w:p w14:paraId="64621515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 túladagolás jelei és tünetei lehetnek: szédülés, fejfájás, alacsony vérnyomás, görcsrohamok. Kimutatták, hogy a görcsrohamok nagyobb gyakorisággal alakulnak ki az adag emelésével.</w:t>
      </w:r>
    </w:p>
    <w:p w14:paraId="21CFA1F8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Túladagolás esetén támogató kezelés javasolt.</w:t>
      </w:r>
    </w:p>
    <w:p w14:paraId="35856AAE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5A5A68E8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597761FF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5.</w:t>
      </w:r>
      <w:r w:rsidRPr="005924B5">
        <w:rPr>
          <w:rFonts w:cs="Times New Roman"/>
          <w:b/>
          <w:bCs/>
          <w:sz w:val="22"/>
          <w:szCs w:val="22"/>
        </w:rPr>
        <w:tab/>
        <w:t>FARMAKOLÓGIAI TULAJDONSÁGOK</w:t>
      </w:r>
    </w:p>
    <w:p w14:paraId="53F76C0C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55F8DE3A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5.1</w:t>
      </w:r>
      <w:r w:rsidRPr="005924B5">
        <w:rPr>
          <w:rFonts w:cs="Times New Roman"/>
          <w:b/>
          <w:bCs/>
          <w:sz w:val="22"/>
          <w:szCs w:val="22"/>
        </w:rPr>
        <w:tab/>
      </w:r>
      <w:proofErr w:type="spellStart"/>
      <w:r w:rsidRPr="005924B5">
        <w:rPr>
          <w:rFonts w:cs="Times New Roman"/>
          <w:b/>
          <w:bCs/>
          <w:sz w:val="22"/>
          <w:szCs w:val="22"/>
        </w:rPr>
        <w:t>Farmakodinámiás</w:t>
      </w:r>
      <w:proofErr w:type="spellEnd"/>
      <w:r w:rsidRPr="005924B5">
        <w:rPr>
          <w:rFonts w:cs="Times New Roman"/>
          <w:b/>
          <w:bCs/>
          <w:sz w:val="22"/>
          <w:szCs w:val="22"/>
        </w:rPr>
        <w:t xml:space="preserve"> tulajdonságok</w:t>
      </w:r>
    </w:p>
    <w:p w14:paraId="4772370E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03B6E1B7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Farmakoterápiás</w:t>
      </w:r>
      <w:proofErr w:type="spellEnd"/>
      <w:r w:rsidRPr="005924B5">
        <w:rPr>
          <w:rFonts w:cs="Times New Roman"/>
          <w:sz w:val="22"/>
          <w:szCs w:val="22"/>
        </w:rPr>
        <w:t xml:space="preserve"> csoport: Vérzéscsillapítók, </w:t>
      </w:r>
      <w:proofErr w:type="spellStart"/>
      <w:r w:rsidRPr="005924B5">
        <w:rPr>
          <w:rFonts w:cs="Times New Roman"/>
          <w:sz w:val="22"/>
          <w:szCs w:val="22"/>
        </w:rPr>
        <w:t>antifibrinolitikumok</w:t>
      </w:r>
      <w:proofErr w:type="spellEnd"/>
      <w:r w:rsidRPr="005924B5">
        <w:rPr>
          <w:rFonts w:cs="Times New Roman"/>
          <w:sz w:val="22"/>
          <w:szCs w:val="22"/>
        </w:rPr>
        <w:t>, ATC kód: B02A A02</w:t>
      </w:r>
    </w:p>
    <w:p w14:paraId="19FDE3DA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C1AE8C7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Hatóanyaga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, a </w:t>
      </w:r>
      <w:proofErr w:type="spellStart"/>
      <w:r w:rsidRPr="005924B5">
        <w:rPr>
          <w:rFonts w:cs="Times New Roman"/>
          <w:sz w:val="22"/>
          <w:szCs w:val="22"/>
        </w:rPr>
        <w:t>plazmin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fibrinolitikus</w:t>
      </w:r>
      <w:proofErr w:type="spellEnd"/>
      <w:r w:rsidRPr="005924B5">
        <w:rPr>
          <w:rFonts w:cs="Times New Roman"/>
          <w:sz w:val="22"/>
          <w:szCs w:val="22"/>
        </w:rPr>
        <w:t xml:space="preserve"> aktivitásának gátlásán keresztül fejti ki vérzésellenes hatását.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és a </w:t>
      </w:r>
      <w:proofErr w:type="spellStart"/>
      <w:r w:rsidRPr="005924B5">
        <w:rPr>
          <w:rFonts w:cs="Times New Roman"/>
          <w:sz w:val="22"/>
          <w:szCs w:val="22"/>
        </w:rPr>
        <w:t>plazminogén</w:t>
      </w:r>
      <w:proofErr w:type="spellEnd"/>
      <w:r w:rsidRPr="005924B5">
        <w:rPr>
          <w:rFonts w:cs="Times New Roman"/>
          <w:sz w:val="22"/>
          <w:szCs w:val="22"/>
        </w:rPr>
        <w:t xml:space="preserve"> komplexet képez; ez a kötés fennmarad a </w:t>
      </w:r>
      <w:proofErr w:type="spellStart"/>
      <w:r w:rsidRPr="005924B5">
        <w:rPr>
          <w:rFonts w:cs="Times New Roman"/>
          <w:sz w:val="22"/>
          <w:szCs w:val="22"/>
        </w:rPr>
        <w:t>plazminogén-plazmin</w:t>
      </w:r>
      <w:proofErr w:type="spellEnd"/>
      <w:r w:rsidRPr="005924B5">
        <w:rPr>
          <w:rFonts w:cs="Times New Roman"/>
          <w:sz w:val="22"/>
          <w:szCs w:val="22"/>
        </w:rPr>
        <w:t xml:space="preserve"> átalakulást követően is.</w:t>
      </w:r>
    </w:p>
    <w:p w14:paraId="6F60F82D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tranexámsavhoz</w:t>
      </w:r>
      <w:proofErr w:type="spellEnd"/>
      <w:r w:rsidRPr="005924B5">
        <w:rPr>
          <w:rFonts w:cs="Times New Roman"/>
          <w:sz w:val="22"/>
          <w:szCs w:val="22"/>
        </w:rPr>
        <w:t xml:space="preserve"> kötött </w:t>
      </w:r>
      <w:proofErr w:type="spellStart"/>
      <w:r w:rsidRPr="005924B5">
        <w:rPr>
          <w:rFonts w:cs="Times New Roman"/>
          <w:sz w:val="22"/>
          <w:szCs w:val="22"/>
        </w:rPr>
        <w:t>plazmin</w:t>
      </w:r>
      <w:proofErr w:type="spellEnd"/>
      <w:r w:rsidRPr="005924B5">
        <w:rPr>
          <w:rFonts w:cs="Times New Roman"/>
          <w:sz w:val="22"/>
          <w:szCs w:val="22"/>
        </w:rPr>
        <w:t xml:space="preserve"> fibrinre kifejtett hatása jelentősen csökkent a szabad </w:t>
      </w:r>
      <w:proofErr w:type="spellStart"/>
      <w:r w:rsidRPr="005924B5">
        <w:rPr>
          <w:rFonts w:cs="Times New Roman"/>
          <w:sz w:val="22"/>
          <w:szCs w:val="22"/>
        </w:rPr>
        <w:t>plazminéhoz</w:t>
      </w:r>
      <w:proofErr w:type="spellEnd"/>
      <w:r w:rsidRPr="005924B5">
        <w:rPr>
          <w:rFonts w:cs="Times New Roman"/>
          <w:sz w:val="22"/>
          <w:szCs w:val="22"/>
        </w:rPr>
        <w:t xml:space="preserve"> képest.</w:t>
      </w:r>
    </w:p>
    <w:p w14:paraId="761DC709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i/>
          <w:iCs/>
          <w:sz w:val="22"/>
          <w:szCs w:val="22"/>
        </w:rPr>
        <w:t>In vitro</w:t>
      </w:r>
      <w:r w:rsidRPr="005924B5">
        <w:rPr>
          <w:rFonts w:cs="Times New Roman"/>
          <w:sz w:val="22"/>
          <w:szCs w:val="22"/>
        </w:rPr>
        <w:t xml:space="preserve"> vizsgálatokban kimutatták, hogy a nagy dózisú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gátolja a komplementrendszer aktivitását.</w:t>
      </w:r>
    </w:p>
    <w:p w14:paraId="6F69ABAA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43EB7B4A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Gyermekek és serdülők</w:t>
      </w:r>
    </w:p>
    <w:p w14:paraId="3BE59A54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1 éves kor feletti gyermekek:</w:t>
      </w:r>
    </w:p>
    <w:p w14:paraId="725E5730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Áttekintve az irodalmat, 12 hatásossági vizsgálatot végeztek el gyermekszívsebészetben, melyekbe összesen 1073 gyermeket választottak be, közülük 631 kapott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noBreakHyphen/>
        <w:t xml:space="preserve">kezelést. A legtöbb vizsgálat placebokontrollos volt. A vizsgált populáció heterogén volt a kort, a sebészeti beavatkozás típusát és az adagolási sémákat illetően. A </w:t>
      </w:r>
      <w:proofErr w:type="spellStart"/>
      <w:r w:rsidRPr="005924B5">
        <w:rPr>
          <w:rFonts w:cs="Times New Roman"/>
          <w:sz w:val="22"/>
          <w:szCs w:val="22"/>
        </w:rPr>
        <w:t>tranexámsavval</w:t>
      </w:r>
      <w:proofErr w:type="spellEnd"/>
      <w:r w:rsidRPr="005924B5">
        <w:rPr>
          <w:rFonts w:cs="Times New Roman"/>
          <w:sz w:val="22"/>
          <w:szCs w:val="22"/>
        </w:rPr>
        <w:t xml:space="preserve"> kapcsolatos vizsgálati eredmények azt mutatják, hogy a vérveszteség mértéke és az igényelt vérkészítmények mennyisége csökkent a gyermekszívsebészetben </w:t>
      </w:r>
      <w:proofErr w:type="spellStart"/>
      <w:r w:rsidRPr="005924B5">
        <w:rPr>
          <w:rFonts w:cs="Times New Roman"/>
          <w:sz w:val="22"/>
          <w:szCs w:val="22"/>
        </w:rPr>
        <w:t>cardiopulmonaris</w:t>
      </w:r>
      <w:proofErr w:type="spellEnd"/>
      <w:r w:rsidRPr="005924B5">
        <w:rPr>
          <w:rFonts w:cs="Times New Roman"/>
          <w:sz w:val="22"/>
          <w:szCs w:val="22"/>
        </w:rPr>
        <w:t xml:space="preserve"> </w:t>
      </w:r>
      <w:proofErr w:type="spellStart"/>
      <w:r w:rsidRPr="005924B5">
        <w:rPr>
          <w:rFonts w:cs="Times New Roman"/>
          <w:sz w:val="22"/>
          <w:szCs w:val="22"/>
        </w:rPr>
        <w:t>bypass</w:t>
      </w:r>
      <w:proofErr w:type="spellEnd"/>
      <w:r w:rsidRPr="005924B5">
        <w:rPr>
          <w:rFonts w:cs="Times New Roman"/>
          <w:sz w:val="22"/>
          <w:szCs w:val="22"/>
        </w:rPr>
        <w:t xml:space="preserve"> (CPB) esetén, ahol nagyon magas a vérzésveszély, különösen a </w:t>
      </w:r>
      <w:proofErr w:type="spellStart"/>
      <w:r w:rsidRPr="005924B5">
        <w:rPr>
          <w:rFonts w:cs="Times New Roman"/>
          <w:sz w:val="22"/>
          <w:szCs w:val="22"/>
        </w:rPr>
        <w:t>cyanoticus</w:t>
      </w:r>
      <w:proofErr w:type="spellEnd"/>
      <w:r w:rsidRPr="005924B5">
        <w:rPr>
          <w:rFonts w:cs="Times New Roman"/>
          <w:sz w:val="22"/>
          <w:szCs w:val="22"/>
        </w:rPr>
        <w:t>, vagy ismételt beavatkozáson átesett betegek esetében. A leggyakrabban alkalmazott adagolási séma az alábbi volt:</w:t>
      </w:r>
    </w:p>
    <w:p w14:paraId="2843C200" w14:textId="77777777" w:rsidR="00BF4BF6" w:rsidRPr="005924B5" w:rsidRDefault="00A64AAE">
      <w:pPr>
        <w:numPr>
          <w:ilvl w:val="0"/>
          <w:numId w:val="18"/>
        </w:numPr>
        <w:tabs>
          <w:tab w:val="clear" w:pos="720"/>
          <w:tab w:val="left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az első 10 mg/kg </w:t>
      </w:r>
      <w:proofErr w:type="spellStart"/>
      <w:r w:rsidRPr="005924B5">
        <w:rPr>
          <w:rFonts w:cs="Times New Roman"/>
          <w:sz w:val="22"/>
          <w:szCs w:val="22"/>
        </w:rPr>
        <w:t>bólus</w:t>
      </w:r>
      <w:proofErr w:type="spellEnd"/>
      <w:r w:rsidRPr="005924B5">
        <w:rPr>
          <w:rFonts w:cs="Times New Roman"/>
          <w:sz w:val="22"/>
          <w:szCs w:val="22"/>
        </w:rPr>
        <w:t xml:space="preserve"> az altatás megkezdése után, a bőrmetszés előtt</w:t>
      </w:r>
    </w:p>
    <w:p w14:paraId="4A7653B0" w14:textId="77777777" w:rsidR="00BF4BF6" w:rsidRPr="005924B5" w:rsidRDefault="00A64AAE">
      <w:pPr>
        <w:numPr>
          <w:ilvl w:val="0"/>
          <w:numId w:val="18"/>
        </w:numPr>
        <w:tabs>
          <w:tab w:val="clear" w:pos="720"/>
          <w:tab w:val="left" w:pos="567"/>
        </w:tabs>
        <w:spacing w:line="260" w:lineRule="exact"/>
        <w:ind w:left="567" w:hanging="567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folyamatos 10 mg/kg/óra infúzió vagy a CPB-pumpába adott injekcióként az első adagot a CPB eljáráshoz igazítva akár a beteg testsúlya szerinti 10 mg/kg adagban, akár a CPB</w:t>
      </w:r>
      <w:r w:rsidRPr="005924B5">
        <w:rPr>
          <w:rFonts w:cs="Times New Roman"/>
          <w:sz w:val="22"/>
          <w:szCs w:val="22"/>
        </w:rPr>
        <w:noBreakHyphen/>
        <w:t xml:space="preserve">pumpa kezdő </w:t>
      </w:r>
      <w:r w:rsidRPr="005924B5">
        <w:rPr>
          <w:rFonts w:cs="Times New Roman"/>
          <w:sz w:val="22"/>
          <w:szCs w:val="22"/>
        </w:rPr>
        <w:lastRenderedPageBreak/>
        <w:t>térfogatának megfelelő adagban, az utolsó 10 mg/kg injekciót a CPB végén beadva.</w:t>
      </w:r>
    </w:p>
    <w:p w14:paraId="38757109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Ugyan vizsgálatokat csak nagyon kevés betegnél végeztek, a korlátozottan rendelkezésre álló adatok azt mutatják, hogy kedvezőbb a folyamatos infúzió, mivel így a terápiás plazmaszint a műtét teljes ideje alatt fenntartható.</w:t>
      </w:r>
    </w:p>
    <w:p w14:paraId="0C7E47E8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Gyermekeknél nem végeztek specifikus dózis-hatás vagy </w:t>
      </w:r>
      <w:proofErr w:type="spellStart"/>
      <w:r w:rsidRPr="005924B5">
        <w:rPr>
          <w:rFonts w:cs="Times New Roman"/>
          <w:sz w:val="22"/>
          <w:szCs w:val="22"/>
        </w:rPr>
        <w:t>farmakokinetikai</w:t>
      </w:r>
      <w:proofErr w:type="spellEnd"/>
      <w:r w:rsidRPr="005924B5">
        <w:rPr>
          <w:rFonts w:cs="Times New Roman"/>
          <w:sz w:val="22"/>
          <w:szCs w:val="22"/>
        </w:rPr>
        <w:t xml:space="preserve"> vizsgálatot.</w:t>
      </w:r>
    </w:p>
    <w:p w14:paraId="63993664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07C8937E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 xml:space="preserve">5.2 </w:t>
      </w:r>
      <w:r w:rsidRPr="005924B5">
        <w:rPr>
          <w:rFonts w:cs="Times New Roman"/>
          <w:b/>
          <w:bCs/>
          <w:sz w:val="22"/>
          <w:szCs w:val="22"/>
        </w:rPr>
        <w:tab/>
      </w:r>
      <w:proofErr w:type="spellStart"/>
      <w:r w:rsidRPr="005924B5">
        <w:rPr>
          <w:rFonts w:cs="Times New Roman"/>
          <w:b/>
          <w:bCs/>
          <w:sz w:val="22"/>
          <w:szCs w:val="22"/>
        </w:rPr>
        <w:t>Farmakokinetikai</w:t>
      </w:r>
      <w:proofErr w:type="spellEnd"/>
      <w:r w:rsidRPr="005924B5">
        <w:rPr>
          <w:rFonts w:cs="Times New Roman"/>
          <w:b/>
          <w:bCs/>
          <w:sz w:val="22"/>
          <w:szCs w:val="22"/>
        </w:rPr>
        <w:t xml:space="preserve"> tulajdonságok</w:t>
      </w:r>
    </w:p>
    <w:p w14:paraId="34CEF13C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020967F0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Felszívódás</w:t>
      </w:r>
    </w:p>
    <w:p w14:paraId="3DE50D32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 rövid intravénás infúzió beadását követően a plazma csúcskoncentráció gyorsan kialakul, ezt követően a plazmakoncentráció multi-exponenciálisan csökken.</w:t>
      </w:r>
    </w:p>
    <w:p w14:paraId="17381B0C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  <w:u w:val="single"/>
        </w:rPr>
      </w:pPr>
    </w:p>
    <w:p w14:paraId="5E726AB5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Eloszlás</w:t>
      </w:r>
    </w:p>
    <w:p w14:paraId="6674894E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plazmafehérjékhez való kötődése 3% terápiás plazmaszintek esetén, és úgy tűnik ez teljesen a </w:t>
      </w:r>
      <w:proofErr w:type="spellStart"/>
      <w:r w:rsidRPr="005924B5">
        <w:rPr>
          <w:rFonts w:cs="Times New Roman"/>
          <w:sz w:val="22"/>
          <w:szCs w:val="22"/>
        </w:rPr>
        <w:t>plazminogénhez</w:t>
      </w:r>
      <w:proofErr w:type="spellEnd"/>
      <w:r w:rsidRPr="005924B5">
        <w:rPr>
          <w:rFonts w:cs="Times New Roman"/>
          <w:sz w:val="22"/>
          <w:szCs w:val="22"/>
        </w:rPr>
        <w:t xml:space="preserve"> való kötődésének köszönhető.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nem kötődik a szérum albuminhoz. Megoszlási térfogata 9</w:t>
      </w:r>
      <w:r w:rsidRPr="005924B5">
        <w:rPr>
          <w:rFonts w:cs="Times New Roman"/>
          <w:sz w:val="22"/>
          <w:szCs w:val="22"/>
        </w:rPr>
        <w:noBreakHyphen/>
        <w:t xml:space="preserve">12 liter. </w:t>
      </w:r>
    </w:p>
    <w:p w14:paraId="1FC4503A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átjut a placentán. 12 terhes nőnek adott 10 mg/kg intravénás injekció után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szérumkoncentrációja a szérumban 10</w:t>
      </w:r>
      <w:r w:rsidRPr="005924B5">
        <w:rPr>
          <w:rFonts w:cs="Times New Roman"/>
          <w:sz w:val="22"/>
          <w:szCs w:val="22"/>
        </w:rPr>
        <w:noBreakHyphen/>
        <w:t>53 </w:t>
      </w:r>
      <w:proofErr w:type="spellStart"/>
      <w:r w:rsidRPr="005924B5">
        <w:rPr>
          <w:rFonts w:cs="Times New Roman"/>
          <w:sz w:val="22"/>
          <w:szCs w:val="22"/>
        </w:rPr>
        <w:t>mikrogramm</w:t>
      </w:r>
      <w:proofErr w:type="spellEnd"/>
      <w:r w:rsidRPr="005924B5">
        <w:rPr>
          <w:rFonts w:cs="Times New Roman"/>
          <w:sz w:val="22"/>
          <w:szCs w:val="22"/>
        </w:rPr>
        <w:t>/ml, míg a köldökzsinórvérben 4</w:t>
      </w:r>
      <w:r w:rsidRPr="005924B5">
        <w:rPr>
          <w:rFonts w:cs="Times New Roman"/>
          <w:sz w:val="22"/>
          <w:szCs w:val="22"/>
        </w:rPr>
        <w:noBreakHyphen/>
        <w:t>31 </w:t>
      </w:r>
      <w:proofErr w:type="spellStart"/>
      <w:r w:rsidRPr="005924B5">
        <w:rPr>
          <w:rFonts w:cs="Times New Roman"/>
          <w:sz w:val="22"/>
          <w:szCs w:val="22"/>
        </w:rPr>
        <w:t>mikrogramm</w:t>
      </w:r>
      <w:proofErr w:type="spellEnd"/>
      <w:r w:rsidRPr="005924B5">
        <w:rPr>
          <w:rFonts w:cs="Times New Roman"/>
          <w:sz w:val="22"/>
          <w:szCs w:val="22"/>
        </w:rPr>
        <w:t xml:space="preserve">/ml volt.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gyorsan diffundál az ízületi folyadékba és a </w:t>
      </w:r>
      <w:proofErr w:type="spellStart"/>
      <w:r w:rsidRPr="005924B5">
        <w:rPr>
          <w:rFonts w:cs="Times New Roman"/>
          <w:sz w:val="22"/>
          <w:szCs w:val="22"/>
        </w:rPr>
        <w:t>synovialis</w:t>
      </w:r>
      <w:proofErr w:type="spellEnd"/>
      <w:r w:rsidRPr="005924B5">
        <w:rPr>
          <w:rFonts w:cs="Times New Roman"/>
          <w:sz w:val="22"/>
          <w:szCs w:val="22"/>
        </w:rPr>
        <w:t xml:space="preserve"> membránba. 17 térdműtéten átesett betegnél, 10 mg/ml intravénás injekcióként történő alkalmazás után a koncentrációk az ízületi folyadékban hasonlóak voltak, mint a megfelelő szérummintákban.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koncentrációja számos egyéb szövetben a vérben mérhető mennyiség tört része volt (anyatejben egy </w:t>
      </w:r>
      <w:proofErr w:type="spellStart"/>
      <w:r w:rsidRPr="005924B5">
        <w:rPr>
          <w:rFonts w:cs="Times New Roman"/>
          <w:sz w:val="22"/>
          <w:szCs w:val="22"/>
        </w:rPr>
        <w:t>százada</w:t>
      </w:r>
      <w:proofErr w:type="spellEnd"/>
      <w:r w:rsidRPr="005924B5">
        <w:rPr>
          <w:rFonts w:cs="Times New Roman"/>
          <w:sz w:val="22"/>
          <w:szCs w:val="22"/>
        </w:rPr>
        <w:t xml:space="preserve">, a </w:t>
      </w:r>
      <w:proofErr w:type="spellStart"/>
      <w:r w:rsidRPr="005924B5">
        <w:rPr>
          <w:rFonts w:cs="Times New Roman"/>
          <w:sz w:val="22"/>
          <w:szCs w:val="22"/>
        </w:rPr>
        <w:t>cerebrospinalis</w:t>
      </w:r>
      <w:proofErr w:type="spellEnd"/>
      <w:r w:rsidRPr="005924B5">
        <w:rPr>
          <w:rFonts w:cs="Times New Roman"/>
          <w:sz w:val="22"/>
          <w:szCs w:val="22"/>
        </w:rPr>
        <w:t xml:space="preserve"> folyadékban egy tizede, a csarnokvízben egy tizede). A </w:t>
      </w:r>
      <w:proofErr w:type="spellStart"/>
      <w:r w:rsidRPr="005924B5">
        <w:rPr>
          <w:rFonts w:cs="Times New Roman"/>
          <w:sz w:val="22"/>
          <w:szCs w:val="22"/>
        </w:rPr>
        <w:t>tranexámsav</w:t>
      </w:r>
      <w:proofErr w:type="spellEnd"/>
      <w:r w:rsidRPr="005924B5">
        <w:rPr>
          <w:rFonts w:cs="Times New Roman"/>
          <w:sz w:val="22"/>
          <w:szCs w:val="22"/>
        </w:rPr>
        <w:t xml:space="preserve"> kimutatható volt az ondóban, ahol gátolta a </w:t>
      </w:r>
      <w:proofErr w:type="spellStart"/>
      <w:r w:rsidRPr="005924B5">
        <w:rPr>
          <w:rFonts w:cs="Times New Roman"/>
          <w:sz w:val="22"/>
          <w:szCs w:val="22"/>
        </w:rPr>
        <w:t>fibrinolitikus</w:t>
      </w:r>
      <w:proofErr w:type="spellEnd"/>
      <w:r w:rsidRPr="005924B5">
        <w:rPr>
          <w:rFonts w:cs="Times New Roman"/>
          <w:sz w:val="22"/>
          <w:szCs w:val="22"/>
        </w:rPr>
        <w:t xml:space="preserve"> aktivitást, de nem befolyásolta a spermák mozgását.</w:t>
      </w:r>
    </w:p>
    <w:p w14:paraId="49468135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  <w:u w:val="single"/>
        </w:rPr>
      </w:pPr>
    </w:p>
    <w:p w14:paraId="30D7BAAD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Elimináció</w:t>
      </w:r>
    </w:p>
    <w:p w14:paraId="5F215251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Változatlan formában </w:t>
      </w:r>
      <w:proofErr w:type="spellStart"/>
      <w:r w:rsidRPr="005924B5">
        <w:rPr>
          <w:rFonts w:cs="Times New Roman"/>
          <w:sz w:val="22"/>
          <w:szCs w:val="22"/>
        </w:rPr>
        <w:t>választódik</w:t>
      </w:r>
      <w:proofErr w:type="spellEnd"/>
      <w:r w:rsidRPr="005924B5">
        <w:rPr>
          <w:rFonts w:cs="Times New Roman"/>
          <w:sz w:val="22"/>
          <w:szCs w:val="22"/>
        </w:rPr>
        <w:t xml:space="preserve"> ki a vizelettel. A vizelettel történő kiválasztás, mely a kiválasztás fő formája, főleg </w:t>
      </w:r>
      <w:proofErr w:type="spellStart"/>
      <w:r w:rsidRPr="005924B5">
        <w:rPr>
          <w:rFonts w:cs="Times New Roman"/>
          <w:sz w:val="22"/>
          <w:szCs w:val="22"/>
        </w:rPr>
        <w:t>glomerulus</w:t>
      </w:r>
      <w:proofErr w:type="spellEnd"/>
      <w:r w:rsidRPr="005924B5">
        <w:rPr>
          <w:rFonts w:cs="Times New Roman"/>
          <w:sz w:val="22"/>
          <w:szCs w:val="22"/>
        </w:rPr>
        <w:t xml:space="preserve"> filtrációval történik. A vese-</w:t>
      </w:r>
      <w:proofErr w:type="spellStart"/>
      <w:r w:rsidRPr="005924B5">
        <w:rPr>
          <w:rFonts w:cs="Times New Roman"/>
          <w:sz w:val="22"/>
          <w:szCs w:val="22"/>
        </w:rPr>
        <w:t>clearance</w:t>
      </w:r>
      <w:proofErr w:type="spellEnd"/>
      <w:r w:rsidRPr="005924B5">
        <w:rPr>
          <w:rFonts w:cs="Times New Roman"/>
          <w:sz w:val="22"/>
          <w:szCs w:val="22"/>
        </w:rPr>
        <w:t xml:space="preserve"> megegyezik a plazma-</w:t>
      </w:r>
      <w:proofErr w:type="spellStart"/>
      <w:r w:rsidRPr="005924B5">
        <w:rPr>
          <w:rFonts w:cs="Times New Roman"/>
          <w:sz w:val="22"/>
          <w:szCs w:val="22"/>
        </w:rPr>
        <w:t>clearance</w:t>
      </w:r>
      <w:proofErr w:type="spellEnd"/>
      <w:r w:rsidRPr="005924B5">
        <w:rPr>
          <w:rFonts w:cs="Times New Roman"/>
          <w:sz w:val="22"/>
          <w:szCs w:val="22"/>
        </w:rPr>
        <w:t>-szel (110</w:t>
      </w:r>
      <w:r w:rsidRPr="005924B5">
        <w:rPr>
          <w:rFonts w:cs="Times New Roman"/>
          <w:sz w:val="22"/>
          <w:szCs w:val="22"/>
        </w:rPr>
        <w:noBreakHyphen/>
        <w:t>116 </w:t>
      </w:r>
      <w:proofErr w:type="spellStart"/>
      <w:r w:rsidRPr="005924B5">
        <w:rPr>
          <w:rFonts w:cs="Times New Roman"/>
          <w:sz w:val="22"/>
          <w:szCs w:val="22"/>
        </w:rPr>
        <w:t>mikromol</w:t>
      </w:r>
      <w:proofErr w:type="spellEnd"/>
      <w:r w:rsidRPr="005924B5">
        <w:rPr>
          <w:rFonts w:cs="Times New Roman"/>
          <w:sz w:val="22"/>
          <w:szCs w:val="22"/>
        </w:rPr>
        <w:t>/perc). 10 mg/</w:t>
      </w:r>
      <w:proofErr w:type="spellStart"/>
      <w:r w:rsidRPr="005924B5">
        <w:rPr>
          <w:rFonts w:cs="Times New Roman"/>
          <w:sz w:val="22"/>
          <w:szCs w:val="22"/>
        </w:rPr>
        <w:t>ttkg</w:t>
      </w:r>
      <w:proofErr w:type="spellEnd"/>
      <w:r w:rsidRPr="005924B5">
        <w:rPr>
          <w:rFonts w:cs="Times New Roman"/>
          <w:sz w:val="22"/>
          <w:szCs w:val="22"/>
        </w:rPr>
        <w:t xml:space="preserve"> intravénás alkalmazást követően a beadott dózis 90%-a az első 24 órában </w:t>
      </w:r>
      <w:proofErr w:type="spellStart"/>
      <w:r w:rsidRPr="005924B5">
        <w:rPr>
          <w:rFonts w:cs="Times New Roman"/>
          <w:sz w:val="22"/>
          <w:szCs w:val="22"/>
        </w:rPr>
        <w:t>kiválasztódik</w:t>
      </w:r>
      <w:proofErr w:type="spellEnd"/>
      <w:r w:rsidRPr="005924B5">
        <w:rPr>
          <w:rFonts w:cs="Times New Roman"/>
          <w:sz w:val="22"/>
          <w:szCs w:val="22"/>
        </w:rPr>
        <w:t xml:space="preserve">. Eliminációs felezési ideje kb. 3 óra. </w:t>
      </w:r>
    </w:p>
    <w:p w14:paraId="1C5FD49B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  <w:u w:val="single"/>
        </w:rPr>
      </w:pPr>
    </w:p>
    <w:p w14:paraId="236BF65B" w14:textId="77777777" w:rsidR="00BF4BF6" w:rsidRPr="005924B5" w:rsidRDefault="00A64AAE" w:rsidP="00A9229A">
      <w:pPr>
        <w:spacing w:after="120" w:line="260" w:lineRule="exact"/>
        <w:rPr>
          <w:rFonts w:cs="Times New Roman"/>
          <w:sz w:val="22"/>
          <w:szCs w:val="22"/>
          <w:u w:val="single"/>
        </w:rPr>
      </w:pPr>
      <w:r w:rsidRPr="005924B5">
        <w:rPr>
          <w:rFonts w:cs="Times New Roman"/>
          <w:sz w:val="22"/>
          <w:szCs w:val="22"/>
          <w:u w:val="single"/>
        </w:rPr>
        <w:t>Speciális betegcsoportok:</w:t>
      </w:r>
    </w:p>
    <w:p w14:paraId="6FF373B7" w14:textId="77777777" w:rsidR="00A1410F" w:rsidRPr="00A9229A" w:rsidRDefault="00A1410F">
      <w:pPr>
        <w:spacing w:line="260" w:lineRule="exact"/>
        <w:rPr>
          <w:rFonts w:cs="Times New Roman"/>
          <w:i/>
          <w:iCs/>
          <w:sz w:val="22"/>
          <w:szCs w:val="22"/>
        </w:rPr>
      </w:pPr>
      <w:r w:rsidRPr="00A9229A">
        <w:rPr>
          <w:rFonts w:cs="Times New Roman"/>
          <w:i/>
          <w:iCs/>
          <w:sz w:val="22"/>
          <w:szCs w:val="22"/>
        </w:rPr>
        <w:t>Vesekárosodás</w:t>
      </w:r>
    </w:p>
    <w:p w14:paraId="7FD6D5CD" w14:textId="321F25A2" w:rsidR="00BF4BF6" w:rsidRPr="007B27E9" w:rsidRDefault="00A64AAE">
      <w:pPr>
        <w:spacing w:line="260" w:lineRule="exact"/>
        <w:rPr>
          <w:rFonts w:cs="Times New Roman"/>
          <w:sz w:val="22"/>
          <w:szCs w:val="22"/>
        </w:rPr>
      </w:pPr>
      <w:r w:rsidRPr="007B27E9">
        <w:rPr>
          <w:rFonts w:cs="Times New Roman"/>
          <w:sz w:val="22"/>
          <w:szCs w:val="22"/>
        </w:rPr>
        <w:t>Vesekárosodásban szenvedő betegeknél emelkedett a plazmakoncentráció.</w:t>
      </w:r>
    </w:p>
    <w:p w14:paraId="0FEEAD00" w14:textId="77777777" w:rsidR="00A1410F" w:rsidRPr="007B27E9" w:rsidRDefault="00A1410F">
      <w:pPr>
        <w:spacing w:line="260" w:lineRule="exact"/>
        <w:rPr>
          <w:rFonts w:cs="Times New Roman"/>
          <w:sz w:val="22"/>
          <w:szCs w:val="22"/>
        </w:rPr>
      </w:pPr>
    </w:p>
    <w:p w14:paraId="686B5FE8" w14:textId="706170F7" w:rsidR="00A1410F" w:rsidRPr="00A9229A" w:rsidRDefault="00A1410F">
      <w:pPr>
        <w:spacing w:line="260" w:lineRule="exact"/>
        <w:rPr>
          <w:rFonts w:cs="Times New Roman"/>
          <w:i/>
          <w:iCs/>
          <w:sz w:val="22"/>
          <w:szCs w:val="22"/>
        </w:rPr>
      </w:pPr>
      <w:r w:rsidRPr="00A9229A">
        <w:rPr>
          <w:rFonts w:cs="Times New Roman"/>
          <w:i/>
          <w:iCs/>
          <w:sz w:val="22"/>
          <w:szCs w:val="22"/>
        </w:rPr>
        <w:t>Gyermekek és serdülők</w:t>
      </w:r>
    </w:p>
    <w:p w14:paraId="6FD50405" w14:textId="3B4CFE32" w:rsidR="00BF4BF6" w:rsidRPr="007B27E9" w:rsidRDefault="00A1410F">
      <w:pPr>
        <w:spacing w:line="260" w:lineRule="exact"/>
        <w:rPr>
          <w:rFonts w:cs="Times New Roman"/>
          <w:sz w:val="22"/>
          <w:szCs w:val="22"/>
        </w:rPr>
      </w:pPr>
      <w:r w:rsidRPr="007B27E9">
        <w:rPr>
          <w:rFonts w:cs="Times New Roman"/>
          <w:sz w:val="22"/>
          <w:szCs w:val="22"/>
        </w:rPr>
        <w:t xml:space="preserve">Egy vizsgálat értékelte a </w:t>
      </w:r>
      <w:proofErr w:type="spellStart"/>
      <w:r w:rsidRPr="007B27E9">
        <w:rPr>
          <w:rFonts w:cs="Times New Roman"/>
          <w:sz w:val="22"/>
          <w:szCs w:val="22"/>
        </w:rPr>
        <w:t>tranexámsav</w:t>
      </w:r>
      <w:proofErr w:type="spellEnd"/>
      <w:r w:rsidRPr="007B27E9">
        <w:rPr>
          <w:rFonts w:cs="Times New Roman"/>
          <w:sz w:val="22"/>
          <w:szCs w:val="22"/>
        </w:rPr>
        <w:t xml:space="preserve"> populációs </w:t>
      </w:r>
      <w:proofErr w:type="spellStart"/>
      <w:r w:rsidRPr="007B27E9">
        <w:rPr>
          <w:rFonts w:cs="Times New Roman"/>
          <w:sz w:val="22"/>
          <w:szCs w:val="22"/>
        </w:rPr>
        <w:t>farmakokinetikáját</w:t>
      </w:r>
      <w:proofErr w:type="spellEnd"/>
      <w:r w:rsidRPr="007B27E9">
        <w:rPr>
          <w:rFonts w:cs="Times New Roman"/>
          <w:sz w:val="22"/>
          <w:szCs w:val="22"/>
        </w:rPr>
        <w:t xml:space="preserve"> 21 gyermek esetében (2,5 és 8,7</w:t>
      </w:r>
      <w:r w:rsidR="001447D2" w:rsidRPr="007B27E9">
        <w:rPr>
          <w:rFonts w:cs="Times New Roman"/>
          <w:sz w:val="22"/>
          <w:szCs w:val="22"/>
        </w:rPr>
        <w:t> </w:t>
      </w:r>
      <w:r w:rsidRPr="007B27E9">
        <w:rPr>
          <w:rFonts w:cs="Times New Roman"/>
          <w:sz w:val="22"/>
          <w:szCs w:val="22"/>
        </w:rPr>
        <w:t xml:space="preserve">éves kor között, </w:t>
      </w:r>
      <w:r w:rsidR="001447D2" w:rsidRPr="007B27E9">
        <w:rPr>
          <w:rFonts w:cs="Times New Roman"/>
          <w:sz w:val="22"/>
          <w:szCs w:val="22"/>
        </w:rPr>
        <w:t xml:space="preserve">ami </w:t>
      </w:r>
      <w:r w:rsidRPr="007B27E9">
        <w:rPr>
          <w:rFonts w:cs="Times New Roman"/>
          <w:sz w:val="22"/>
          <w:szCs w:val="22"/>
        </w:rPr>
        <w:t>11,5</w:t>
      </w:r>
      <w:r w:rsidR="001447D2" w:rsidRPr="007B27E9">
        <w:rPr>
          <w:rFonts w:cs="Times New Roman"/>
          <w:sz w:val="22"/>
          <w:szCs w:val="22"/>
        </w:rPr>
        <w:t>–</w:t>
      </w:r>
      <w:r w:rsidRPr="007B27E9">
        <w:rPr>
          <w:rFonts w:cs="Times New Roman"/>
          <w:sz w:val="22"/>
          <w:szCs w:val="22"/>
        </w:rPr>
        <w:t>25,3</w:t>
      </w:r>
      <w:r w:rsidR="001447D2" w:rsidRPr="007B27E9">
        <w:rPr>
          <w:rFonts w:cs="Times New Roman"/>
          <w:sz w:val="22"/>
          <w:szCs w:val="22"/>
        </w:rPr>
        <w:t> </w:t>
      </w:r>
      <w:r w:rsidRPr="007B27E9">
        <w:rPr>
          <w:rFonts w:cs="Times New Roman"/>
          <w:sz w:val="22"/>
          <w:szCs w:val="22"/>
        </w:rPr>
        <w:t>kg</w:t>
      </w:r>
      <w:r w:rsidR="001447D2" w:rsidRPr="005924B5">
        <w:rPr>
          <w:rFonts w:cs="Times New Roman"/>
          <w:sz w:val="22"/>
          <w:szCs w:val="22"/>
        </w:rPr>
        <w:t>-nak felelt meg</w:t>
      </w:r>
      <w:r w:rsidRPr="005924B5">
        <w:rPr>
          <w:rFonts w:cs="Times New Roman"/>
          <w:sz w:val="22"/>
          <w:szCs w:val="22"/>
        </w:rPr>
        <w:t xml:space="preserve">), akik 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CPB (szív-tüdő </w:t>
      </w:r>
      <w:proofErr w:type="spellStart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bypass</w:t>
      </w:r>
      <w:proofErr w:type="spellEnd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 [szív-tüdő gép]) segítségével szívműtéten estek át. Ebben a populációban a </w:t>
      </w:r>
      <w:proofErr w:type="spellStart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tranexámsav</w:t>
      </w:r>
      <w:proofErr w:type="spellEnd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 </w:t>
      </w:r>
      <w:proofErr w:type="spellStart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farmakokinetikáját</w:t>
      </w:r>
      <w:proofErr w:type="spellEnd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 befolyásoló fő kovariáns</w:t>
      </w:r>
      <w:r w:rsidR="001447D2" w:rsidRPr="007B27E9">
        <w:rPr>
          <w:rFonts w:eastAsia="Calibri" w:cs="Times New Roman"/>
          <w:color w:val="auto"/>
          <w:sz w:val="22"/>
          <w:szCs w:val="22"/>
          <w:lang w:eastAsia="en-US"/>
        </w:rPr>
        <w:t>ként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 a testtömeg</w:t>
      </w:r>
      <w:r w:rsidR="001447D2" w:rsidRPr="007B27E9">
        <w:rPr>
          <w:rFonts w:eastAsia="Calibri" w:cs="Times New Roman"/>
          <w:color w:val="auto"/>
          <w:sz w:val="22"/>
          <w:szCs w:val="22"/>
          <w:lang w:eastAsia="en-US"/>
        </w:rPr>
        <w:t>et jelentették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. A vizsgált 10</w:t>
      </w:r>
      <w:r w:rsidR="001447D2" w:rsidRPr="007B27E9">
        <w:rPr>
          <w:rFonts w:cs="Times New Roman"/>
          <w:sz w:val="22"/>
          <w:szCs w:val="22"/>
        </w:rPr>
        <w:t>–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30</w:t>
      </w:r>
      <w:r w:rsidR="001447D2" w:rsidRPr="007B27E9">
        <w:rPr>
          <w:rFonts w:eastAsia="Calibri" w:cs="Times New Roman"/>
          <w:color w:val="auto"/>
          <w:sz w:val="22"/>
          <w:szCs w:val="22"/>
          <w:lang w:eastAsia="en-US"/>
        </w:rPr>
        <w:t> 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kg </w:t>
      </w:r>
      <w:r w:rsidR="00E45CC1" w:rsidRPr="007B27E9">
        <w:rPr>
          <w:rFonts w:eastAsia="Calibri" w:cs="Times New Roman"/>
          <w:color w:val="auto"/>
          <w:sz w:val="22"/>
          <w:szCs w:val="22"/>
          <w:lang w:eastAsia="en-US"/>
        </w:rPr>
        <w:t>te</w:t>
      </w:r>
      <w:r w:rsidR="001447D2" w:rsidRPr="007B27E9">
        <w:rPr>
          <w:rFonts w:eastAsia="Calibri" w:cs="Times New Roman"/>
          <w:color w:val="auto"/>
          <w:sz w:val="22"/>
          <w:szCs w:val="22"/>
          <w:lang w:eastAsia="en-US"/>
        </w:rPr>
        <w:t>sttömegű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 csoportban a plazma-</w:t>
      </w:r>
      <w:proofErr w:type="spellStart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clearance</w:t>
      </w:r>
      <w:proofErr w:type="spellEnd"/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 csökkent a testtömeg növekedésével (0,95-</w:t>
      </w:r>
      <w:r w:rsidR="001447D2" w:rsidRPr="007B27E9">
        <w:rPr>
          <w:rFonts w:eastAsia="Calibri" w:cs="Times New Roman"/>
          <w:color w:val="auto"/>
          <w:sz w:val="22"/>
          <w:szCs w:val="22"/>
          <w:lang w:eastAsia="en-US"/>
        </w:rPr>
        <w:t>r</w:t>
      </w:r>
      <w:r w:rsidR="00323601">
        <w:rPr>
          <w:rFonts w:eastAsia="Calibri" w:cs="Times New Roman"/>
          <w:color w:val="auto"/>
          <w:sz w:val="22"/>
          <w:szCs w:val="22"/>
          <w:lang w:eastAsia="en-US"/>
        </w:rPr>
        <w:t>ó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l 0,72</w:t>
      </w:r>
      <w:r w:rsidR="001447D2" w:rsidRPr="007B27E9">
        <w:rPr>
          <w:rFonts w:eastAsia="Calibri" w:cs="Times New Roman"/>
          <w:color w:val="auto"/>
          <w:sz w:val="22"/>
          <w:szCs w:val="22"/>
          <w:lang w:eastAsia="en-US"/>
        </w:rPr>
        <w:t> 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ml/perc/kg-ra), am</w:t>
      </w:r>
      <w:r w:rsidR="001447D2" w:rsidRPr="007B27E9">
        <w:rPr>
          <w:rFonts w:eastAsia="Calibri" w:cs="Times New Roman"/>
          <w:color w:val="auto"/>
          <w:sz w:val="22"/>
          <w:szCs w:val="22"/>
          <w:lang w:eastAsia="en-US"/>
        </w:rPr>
        <w:t>i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 xml:space="preserve"> az eliminációs felezési idő növekedésének</w:t>
      </w:r>
      <w:r w:rsidR="00E45CC1" w:rsidRPr="007B27E9">
        <w:rPr>
          <w:rFonts w:eastAsia="Calibri" w:cs="Times New Roman"/>
          <w:color w:val="auto"/>
          <w:sz w:val="22"/>
          <w:szCs w:val="22"/>
          <w:lang w:eastAsia="en-US"/>
        </w:rPr>
        <w:t xml:space="preserve"> 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felelt meg</w:t>
      </w:r>
      <w:r w:rsidR="00E45CC1" w:rsidRPr="007B27E9">
        <w:rPr>
          <w:rFonts w:eastAsia="Calibri" w:cs="Times New Roman"/>
          <w:color w:val="auto"/>
          <w:sz w:val="22"/>
          <w:szCs w:val="22"/>
          <w:lang w:eastAsia="en-US"/>
        </w:rPr>
        <w:t xml:space="preserve"> (10 óráról 12,6 órára)</w:t>
      </w:r>
      <w:r w:rsidRPr="00A9229A">
        <w:rPr>
          <w:rFonts w:eastAsia="Calibri" w:cs="Times New Roman"/>
          <w:color w:val="auto"/>
          <w:sz w:val="22"/>
          <w:szCs w:val="22"/>
          <w:lang w:eastAsia="en-US"/>
        </w:rPr>
        <w:t>.</w:t>
      </w:r>
    </w:p>
    <w:p w14:paraId="5A0818E5" w14:textId="77777777" w:rsidR="00BF4BF6" w:rsidRPr="007B27E9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03AFE462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7B27E9">
        <w:rPr>
          <w:rFonts w:cs="Times New Roman"/>
          <w:b/>
          <w:bCs/>
          <w:sz w:val="22"/>
          <w:szCs w:val="22"/>
        </w:rPr>
        <w:t>5.3</w:t>
      </w:r>
      <w:r w:rsidRPr="007B27E9">
        <w:rPr>
          <w:rFonts w:cs="Times New Roman"/>
          <w:b/>
          <w:bCs/>
          <w:sz w:val="22"/>
          <w:szCs w:val="22"/>
        </w:rPr>
        <w:tab/>
        <w:t xml:space="preserve">A </w:t>
      </w:r>
      <w:proofErr w:type="spellStart"/>
      <w:r w:rsidRPr="007B27E9">
        <w:rPr>
          <w:rFonts w:cs="Times New Roman"/>
          <w:b/>
          <w:bCs/>
          <w:sz w:val="22"/>
          <w:szCs w:val="22"/>
        </w:rPr>
        <w:t>preklinikai</w:t>
      </w:r>
      <w:proofErr w:type="spellEnd"/>
      <w:r w:rsidRPr="007B27E9">
        <w:rPr>
          <w:rFonts w:cs="Times New Roman"/>
          <w:b/>
          <w:bCs/>
          <w:sz w:val="22"/>
          <w:szCs w:val="22"/>
        </w:rPr>
        <w:t xml:space="preserve"> biztonságossági vizsgálatok eredményei</w:t>
      </w:r>
    </w:p>
    <w:p w14:paraId="0DD93941" w14:textId="77777777" w:rsidR="00BF4BF6" w:rsidRPr="005924B5" w:rsidRDefault="00BF4BF6">
      <w:pPr>
        <w:spacing w:line="260" w:lineRule="exact"/>
        <w:rPr>
          <w:rFonts w:eastAsia="Times New Roman" w:cs="Times New Roman"/>
          <w:sz w:val="22"/>
          <w:szCs w:val="22"/>
          <w:lang w:eastAsia="en-US"/>
        </w:rPr>
      </w:pPr>
    </w:p>
    <w:p w14:paraId="6176282F" w14:textId="77777777" w:rsidR="00BF4BF6" w:rsidRPr="005924B5" w:rsidRDefault="00A64AAE">
      <w:pPr>
        <w:spacing w:line="260" w:lineRule="exact"/>
        <w:rPr>
          <w:rFonts w:eastAsia="Times New Roman" w:cs="Times New Roman"/>
          <w:sz w:val="22"/>
          <w:szCs w:val="22"/>
          <w:lang w:eastAsia="en-US"/>
        </w:rPr>
      </w:pPr>
      <w:r w:rsidRPr="005924B5">
        <w:rPr>
          <w:rFonts w:eastAsia="Times New Roman" w:cs="Times New Roman"/>
          <w:sz w:val="22"/>
          <w:szCs w:val="22"/>
          <w:lang w:eastAsia="en-US"/>
        </w:rPr>
        <w:t xml:space="preserve">A hagyományos – farmakológiai biztonságossági, ismételt </w:t>
      </w:r>
      <w:proofErr w:type="spellStart"/>
      <w:r w:rsidRPr="005924B5">
        <w:rPr>
          <w:rFonts w:eastAsia="Times New Roman" w:cs="Times New Roman"/>
          <w:sz w:val="22"/>
          <w:szCs w:val="22"/>
          <w:lang w:eastAsia="en-US"/>
        </w:rPr>
        <w:t>adagolású</w:t>
      </w:r>
      <w:proofErr w:type="spellEnd"/>
      <w:r w:rsidRPr="005924B5">
        <w:rPr>
          <w:rFonts w:eastAsia="Times New Roman" w:cs="Times New Roman"/>
          <w:sz w:val="22"/>
          <w:szCs w:val="22"/>
          <w:lang w:eastAsia="en-US"/>
        </w:rPr>
        <w:t xml:space="preserve"> dózistoxicitási, </w:t>
      </w:r>
      <w:proofErr w:type="spellStart"/>
      <w:r w:rsidRPr="005924B5">
        <w:rPr>
          <w:rFonts w:eastAsia="Times New Roman" w:cs="Times New Roman"/>
          <w:sz w:val="22"/>
          <w:szCs w:val="22"/>
          <w:lang w:eastAsia="en-US"/>
        </w:rPr>
        <w:t>genotoxicitási</w:t>
      </w:r>
      <w:proofErr w:type="spellEnd"/>
      <w:r w:rsidRPr="005924B5">
        <w:rPr>
          <w:rFonts w:eastAsia="Times New Roman" w:cs="Times New Roman"/>
          <w:sz w:val="22"/>
          <w:szCs w:val="22"/>
          <w:lang w:eastAsia="en-US"/>
        </w:rPr>
        <w:t xml:space="preserve">, </w:t>
      </w:r>
      <w:proofErr w:type="spellStart"/>
      <w:r w:rsidRPr="005924B5">
        <w:rPr>
          <w:rFonts w:eastAsia="Times New Roman" w:cs="Times New Roman"/>
          <w:sz w:val="22"/>
          <w:szCs w:val="22"/>
          <w:lang w:eastAsia="en-US"/>
        </w:rPr>
        <w:t>karcinogenitási</w:t>
      </w:r>
      <w:proofErr w:type="spellEnd"/>
      <w:r w:rsidRPr="005924B5">
        <w:rPr>
          <w:rFonts w:eastAsia="Times New Roman" w:cs="Times New Roman"/>
          <w:sz w:val="22"/>
          <w:szCs w:val="22"/>
          <w:lang w:eastAsia="en-US"/>
        </w:rPr>
        <w:t>, reprodukcióra-, és fejlődésre kifejtett toxicitási – vizsgálatokból származó nem</w:t>
      </w:r>
      <w:r w:rsidRPr="005924B5">
        <w:rPr>
          <w:rFonts w:eastAsia="Times New Roman" w:cs="Times New Roman"/>
          <w:sz w:val="22"/>
          <w:szCs w:val="22"/>
          <w:lang w:eastAsia="en-US"/>
        </w:rPr>
        <w:noBreakHyphen/>
        <w:t>klinikai jellegű adatok azt igazolták, hogy a készítmény emberen való alkalmazásakor különös veszély nem várható.</w:t>
      </w:r>
    </w:p>
    <w:p w14:paraId="0CF08E69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proofErr w:type="spellStart"/>
      <w:r w:rsidRPr="005924B5">
        <w:rPr>
          <w:rFonts w:eastAsia="Times New Roman" w:cs="Times New Roman"/>
          <w:sz w:val="22"/>
          <w:szCs w:val="22"/>
          <w:lang w:eastAsia="en-US"/>
        </w:rPr>
        <w:t>Intrathecalis</w:t>
      </w:r>
      <w:proofErr w:type="spellEnd"/>
      <w:r w:rsidRPr="005924B5">
        <w:rPr>
          <w:rFonts w:eastAsia="Times New Roman" w:cs="Times New Roman"/>
          <w:sz w:val="22"/>
          <w:szCs w:val="22"/>
          <w:lang w:eastAsia="en-US"/>
        </w:rPr>
        <w:t xml:space="preserve"> alkalmazás esetén állatokban </w:t>
      </w:r>
      <w:proofErr w:type="spellStart"/>
      <w:r w:rsidRPr="005924B5">
        <w:rPr>
          <w:rFonts w:eastAsia="Times New Roman" w:cs="Times New Roman"/>
          <w:sz w:val="22"/>
          <w:szCs w:val="22"/>
          <w:lang w:eastAsia="en-US"/>
        </w:rPr>
        <w:t>epileptogén</w:t>
      </w:r>
      <w:proofErr w:type="spellEnd"/>
      <w:r w:rsidRPr="005924B5">
        <w:rPr>
          <w:rFonts w:eastAsia="Times New Roman" w:cs="Times New Roman"/>
          <w:sz w:val="22"/>
          <w:szCs w:val="22"/>
          <w:lang w:eastAsia="en-US"/>
        </w:rPr>
        <w:t xml:space="preserve"> hatást figyeltek meg a </w:t>
      </w:r>
      <w:proofErr w:type="spellStart"/>
      <w:r w:rsidRPr="005924B5">
        <w:rPr>
          <w:rFonts w:eastAsia="Times New Roman" w:cs="Times New Roman"/>
          <w:sz w:val="22"/>
          <w:szCs w:val="22"/>
          <w:lang w:eastAsia="en-US"/>
        </w:rPr>
        <w:t>tranexámsav</w:t>
      </w:r>
      <w:proofErr w:type="spellEnd"/>
      <w:r w:rsidRPr="005924B5">
        <w:rPr>
          <w:rFonts w:eastAsia="Times New Roman" w:cs="Times New Roman"/>
          <w:sz w:val="22"/>
          <w:szCs w:val="22"/>
          <w:lang w:eastAsia="en-US"/>
        </w:rPr>
        <w:t xml:space="preserve"> alkalmazásával összefüggésben.</w:t>
      </w:r>
    </w:p>
    <w:p w14:paraId="039404E0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608BB7BA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6B1436CE" w14:textId="77777777" w:rsidR="00BF4BF6" w:rsidRPr="005924B5" w:rsidRDefault="00A64AAE" w:rsidP="00591626">
      <w:pPr>
        <w:keepNext/>
        <w:numPr>
          <w:ilvl w:val="0"/>
          <w:numId w:val="5"/>
        </w:numPr>
        <w:tabs>
          <w:tab w:val="clear" w:pos="283"/>
          <w:tab w:val="num" w:pos="567"/>
        </w:tabs>
        <w:spacing w:line="260" w:lineRule="exact"/>
        <w:ind w:left="567" w:hanging="584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lastRenderedPageBreak/>
        <w:t>GYÓGYSZERÉSZETI JELLEMZŐK</w:t>
      </w:r>
    </w:p>
    <w:p w14:paraId="01876DAF" w14:textId="77777777" w:rsidR="00BF4BF6" w:rsidRPr="005924B5" w:rsidRDefault="00BF4BF6">
      <w:pPr>
        <w:spacing w:line="260" w:lineRule="exact"/>
        <w:ind w:left="-15"/>
        <w:rPr>
          <w:rFonts w:cs="Times New Roman"/>
          <w:sz w:val="22"/>
          <w:szCs w:val="22"/>
        </w:rPr>
      </w:pPr>
    </w:p>
    <w:p w14:paraId="438774D1" w14:textId="77777777" w:rsidR="00BF4BF6" w:rsidRPr="005924B5" w:rsidRDefault="00A64AAE">
      <w:pPr>
        <w:spacing w:line="260" w:lineRule="exact"/>
        <w:ind w:left="-15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6.1</w:t>
      </w:r>
      <w:r w:rsidRPr="005924B5">
        <w:rPr>
          <w:rFonts w:cs="Times New Roman"/>
          <w:b/>
          <w:bCs/>
          <w:sz w:val="22"/>
          <w:szCs w:val="22"/>
        </w:rPr>
        <w:tab/>
        <w:t>Segédanyagok felsorolása</w:t>
      </w:r>
    </w:p>
    <w:p w14:paraId="3E995024" w14:textId="77777777" w:rsidR="00BF4BF6" w:rsidRPr="005924B5" w:rsidRDefault="00BF4BF6">
      <w:pPr>
        <w:spacing w:line="260" w:lineRule="exact"/>
        <w:rPr>
          <w:rFonts w:cs="Times New Roman"/>
          <w:i/>
          <w:iCs/>
          <w:sz w:val="22"/>
          <w:szCs w:val="22"/>
        </w:rPr>
      </w:pPr>
    </w:p>
    <w:p w14:paraId="1AA44EB2" w14:textId="6E296569" w:rsidR="00BF4BF6" w:rsidRPr="007B27E9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Tömény sósav</w:t>
      </w:r>
      <w:r w:rsidR="007B27E9">
        <w:rPr>
          <w:rFonts w:cs="Times New Roman"/>
          <w:sz w:val="22"/>
          <w:szCs w:val="22"/>
        </w:rPr>
        <w:t xml:space="preserve"> (pH beállításához)</w:t>
      </w:r>
      <w:r w:rsidRPr="007B27E9">
        <w:rPr>
          <w:rFonts w:cs="Times New Roman"/>
          <w:sz w:val="22"/>
          <w:szCs w:val="22"/>
        </w:rPr>
        <w:t>,</w:t>
      </w:r>
    </w:p>
    <w:p w14:paraId="2C6BBF6F" w14:textId="77777777" w:rsidR="00BF4BF6" w:rsidRPr="007B27E9" w:rsidRDefault="00A64AAE">
      <w:pPr>
        <w:spacing w:line="260" w:lineRule="exact"/>
        <w:rPr>
          <w:rFonts w:cs="Times New Roman"/>
          <w:sz w:val="22"/>
          <w:szCs w:val="22"/>
        </w:rPr>
      </w:pPr>
      <w:r w:rsidRPr="007B27E9">
        <w:rPr>
          <w:rFonts w:cs="Times New Roman"/>
          <w:sz w:val="22"/>
          <w:szCs w:val="22"/>
        </w:rPr>
        <w:t>Injekcióhoz való víz.</w:t>
      </w:r>
    </w:p>
    <w:p w14:paraId="3C9BC4B7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ED66D95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6.2</w:t>
      </w:r>
      <w:r w:rsidRPr="005924B5">
        <w:rPr>
          <w:rFonts w:cs="Times New Roman"/>
          <w:b/>
          <w:bCs/>
          <w:sz w:val="22"/>
          <w:szCs w:val="22"/>
        </w:rPr>
        <w:tab/>
        <w:t>Inkompatibilitások</w:t>
      </w:r>
    </w:p>
    <w:p w14:paraId="4336C372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6706D94C" w14:textId="255B4211" w:rsidR="00A1410F" w:rsidRPr="005924B5" w:rsidRDefault="00A64AAE" w:rsidP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Nem értelmezhető.</w:t>
      </w:r>
    </w:p>
    <w:p w14:paraId="18D66CBC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51624E9" w14:textId="77777777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6.3</w:t>
      </w:r>
      <w:r w:rsidRPr="005924B5">
        <w:rPr>
          <w:rFonts w:cs="Times New Roman"/>
          <w:b/>
          <w:bCs/>
          <w:sz w:val="22"/>
          <w:szCs w:val="22"/>
        </w:rPr>
        <w:tab/>
        <w:t>Felhasználhatósági időtartam</w:t>
      </w:r>
    </w:p>
    <w:p w14:paraId="6D92FCD2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AF9FFFF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3 év</w:t>
      </w:r>
    </w:p>
    <w:p w14:paraId="755243D0" w14:textId="331282B2" w:rsidR="00E63F27" w:rsidRPr="005924B5" w:rsidRDefault="00E63F27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Felbontás után: a terméket azonnal fel kell használni.</w:t>
      </w:r>
    </w:p>
    <w:p w14:paraId="23DEAF48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0F7283C" w14:textId="77777777" w:rsidR="00BF4BF6" w:rsidRPr="005924B5" w:rsidRDefault="00A64AAE">
      <w:pPr>
        <w:keepNext/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6.4</w:t>
      </w:r>
      <w:r w:rsidRPr="005924B5">
        <w:rPr>
          <w:rFonts w:cs="Times New Roman"/>
          <w:b/>
          <w:bCs/>
          <w:sz w:val="22"/>
          <w:szCs w:val="22"/>
        </w:rPr>
        <w:tab/>
        <w:t>Különleges tárolási előírások</w:t>
      </w:r>
    </w:p>
    <w:p w14:paraId="14CF5FCA" w14:textId="77777777" w:rsidR="00BF4BF6" w:rsidRPr="005924B5" w:rsidRDefault="00BF4BF6">
      <w:pPr>
        <w:spacing w:line="260" w:lineRule="exact"/>
        <w:rPr>
          <w:rFonts w:cs="Times New Roman"/>
          <w:b/>
          <w:bCs/>
          <w:sz w:val="22"/>
          <w:szCs w:val="22"/>
        </w:rPr>
      </w:pPr>
    </w:p>
    <w:p w14:paraId="729A81A0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Ez a gyógyszer nem igényel különleges tárolást.</w:t>
      </w:r>
    </w:p>
    <w:p w14:paraId="2C6BCEA3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EE31244" w14:textId="77777777" w:rsidR="00BF4BF6" w:rsidRPr="005924B5" w:rsidRDefault="00A64AAE" w:rsidP="00A9229A">
      <w:pPr>
        <w:keepNext/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6.5</w:t>
      </w:r>
      <w:r w:rsidRPr="005924B5">
        <w:rPr>
          <w:rFonts w:cs="Times New Roman"/>
          <w:b/>
          <w:bCs/>
          <w:sz w:val="22"/>
          <w:szCs w:val="22"/>
        </w:rPr>
        <w:tab/>
        <w:t>Csomagolás típusa és kiszerelése</w:t>
      </w:r>
    </w:p>
    <w:p w14:paraId="28408662" w14:textId="77777777" w:rsidR="00BF4BF6" w:rsidRPr="005924B5" w:rsidRDefault="00BF4BF6" w:rsidP="00A9229A">
      <w:pPr>
        <w:keepNext/>
        <w:spacing w:line="260" w:lineRule="exact"/>
        <w:rPr>
          <w:rFonts w:cs="Times New Roman"/>
          <w:sz w:val="22"/>
          <w:szCs w:val="22"/>
        </w:rPr>
      </w:pPr>
    </w:p>
    <w:p w14:paraId="4E70229C" w14:textId="77777777" w:rsidR="00BF4BF6" w:rsidRPr="005924B5" w:rsidRDefault="00A64AAE">
      <w:pPr>
        <w:autoSpaceDE w:val="0"/>
        <w:autoSpaceDN w:val="0"/>
        <w:adjustRightInd w:val="0"/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5 ml oldat, kék törőponttal valamint kék kódgyűrűvel ellátott színtelen forrasztott OPC üvegampullába töltve.</w:t>
      </w:r>
    </w:p>
    <w:p w14:paraId="3EEC9FAD" w14:textId="77777777" w:rsidR="00BF4BF6" w:rsidRPr="005924B5" w:rsidRDefault="00A64AAE">
      <w:pPr>
        <w:autoSpaceDE w:val="0"/>
        <w:autoSpaceDN w:val="0"/>
        <w:adjustRightInd w:val="0"/>
        <w:spacing w:line="260" w:lineRule="exact"/>
        <w:ind w:left="284" w:hanging="284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5 ampulla műanyag tálcában és dobozban.</w:t>
      </w:r>
    </w:p>
    <w:p w14:paraId="16B683FF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2F2806F" w14:textId="77777777" w:rsidR="00BF4BF6" w:rsidRPr="005924B5" w:rsidRDefault="00A64AAE">
      <w:pPr>
        <w:keepNext/>
        <w:spacing w:line="260" w:lineRule="exact"/>
        <w:ind w:left="567" w:hanging="567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6.6</w:t>
      </w:r>
      <w:r w:rsidRPr="005924B5">
        <w:rPr>
          <w:rFonts w:cs="Times New Roman"/>
          <w:b/>
          <w:bCs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5C36285F" w14:textId="77777777" w:rsidR="00BF4BF6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2AFB7555" w14:textId="239A030B" w:rsidR="00CD36E2" w:rsidRPr="00CD36E2" w:rsidRDefault="00CD36E2" w:rsidP="00CD36E2">
      <w:pPr>
        <w:spacing w:line="260" w:lineRule="exact"/>
        <w:rPr>
          <w:rFonts w:cs="Times New Roman"/>
          <w:sz w:val="22"/>
          <w:szCs w:val="22"/>
        </w:rPr>
      </w:pPr>
      <w:r w:rsidRPr="006230FE">
        <w:rPr>
          <w:rFonts w:cs="Times New Roman"/>
          <w:sz w:val="22"/>
          <w:szCs w:val="22"/>
        </w:rPr>
        <w:t xml:space="preserve">Az egészségügyi szakemberek számára nyomatékosan ajánlott, hogy a készítmény </w:t>
      </w:r>
      <w:r>
        <w:rPr>
          <w:rFonts w:cs="Times New Roman"/>
          <w:sz w:val="22"/>
          <w:szCs w:val="22"/>
        </w:rPr>
        <w:t>ampull</w:t>
      </w:r>
      <w:r w:rsidR="00F02C16">
        <w:rPr>
          <w:rFonts w:cs="Times New Roman"/>
          <w:sz w:val="22"/>
          <w:szCs w:val="22"/>
        </w:rPr>
        <w:t>ás</w:t>
      </w:r>
      <w:r w:rsidR="0089720F">
        <w:rPr>
          <w:rFonts w:cs="Times New Roman"/>
          <w:sz w:val="22"/>
          <w:szCs w:val="22"/>
        </w:rPr>
        <w:t xml:space="preserve"> </w:t>
      </w:r>
      <w:r w:rsidRPr="006230FE">
        <w:rPr>
          <w:rFonts w:cs="Times New Roman"/>
          <w:sz w:val="22"/>
          <w:szCs w:val="22"/>
        </w:rPr>
        <w:t xml:space="preserve">kiszerelésből való felszívása során az </w:t>
      </w:r>
      <w:proofErr w:type="spellStart"/>
      <w:r w:rsidRPr="00A9229A">
        <w:rPr>
          <w:rFonts w:cs="Times New Roman"/>
          <w:sz w:val="22"/>
          <w:szCs w:val="22"/>
        </w:rPr>
        <w:t>Exacyl</w:t>
      </w:r>
      <w:proofErr w:type="spellEnd"/>
      <w:r w:rsidRPr="00A9229A">
        <w:rPr>
          <w:rFonts w:cs="Times New Roman"/>
          <w:sz w:val="22"/>
          <w:szCs w:val="22"/>
        </w:rPr>
        <w:t xml:space="preserve"> </w:t>
      </w:r>
      <w:proofErr w:type="spellStart"/>
      <w:r w:rsidRPr="00A9229A">
        <w:rPr>
          <w:rFonts w:cs="Times New Roman"/>
          <w:sz w:val="22"/>
          <w:szCs w:val="22"/>
        </w:rPr>
        <w:t>oldatos</w:t>
      </w:r>
      <w:proofErr w:type="spellEnd"/>
      <w:r w:rsidRPr="00A9229A">
        <w:rPr>
          <w:rFonts w:cs="Times New Roman"/>
          <w:sz w:val="22"/>
          <w:szCs w:val="22"/>
        </w:rPr>
        <w:t xml:space="preserve"> injekció</w:t>
      </w:r>
      <w:r>
        <w:rPr>
          <w:rFonts w:cs="Times New Roman"/>
          <w:sz w:val="22"/>
          <w:szCs w:val="22"/>
        </w:rPr>
        <w:t xml:space="preserve"> </w:t>
      </w:r>
      <w:r w:rsidRPr="006230FE">
        <w:rPr>
          <w:rFonts w:cs="Times New Roman"/>
          <w:sz w:val="22"/>
          <w:szCs w:val="22"/>
        </w:rPr>
        <w:t>készítményt tartalmazó fecskendőket</w:t>
      </w:r>
      <w:r w:rsidR="0089720F">
        <w:rPr>
          <w:rFonts w:cs="Times New Roman"/>
          <w:sz w:val="22"/>
          <w:szCs w:val="22"/>
        </w:rPr>
        <w:t xml:space="preserve"> </w:t>
      </w:r>
      <w:r w:rsidRPr="006230FE">
        <w:rPr>
          <w:rFonts w:cs="Times New Roman"/>
          <w:sz w:val="22"/>
          <w:szCs w:val="22"/>
        </w:rPr>
        <w:t>címkézzék fel az egyértelmű azonosítás és a helyes alkalmazási mód biztosítása érdekében, ezzel</w:t>
      </w:r>
      <w:r w:rsidR="0089720F">
        <w:rPr>
          <w:rFonts w:cs="Times New Roman"/>
          <w:sz w:val="22"/>
          <w:szCs w:val="22"/>
        </w:rPr>
        <w:t xml:space="preserve"> </w:t>
      </w:r>
      <w:r w:rsidRPr="006230FE">
        <w:rPr>
          <w:rFonts w:cs="Times New Roman"/>
          <w:sz w:val="22"/>
          <w:szCs w:val="22"/>
        </w:rPr>
        <w:t>megelőzve a véletlen gyógyszerelési hibákat a betegnek történő beadáskor.</w:t>
      </w:r>
    </w:p>
    <w:p w14:paraId="5DD1682A" w14:textId="77777777" w:rsidR="00CD36E2" w:rsidRPr="005924B5" w:rsidRDefault="00CD36E2">
      <w:pPr>
        <w:spacing w:line="260" w:lineRule="exact"/>
        <w:rPr>
          <w:rFonts w:cs="Times New Roman"/>
          <w:sz w:val="22"/>
          <w:szCs w:val="22"/>
        </w:rPr>
      </w:pPr>
    </w:p>
    <w:p w14:paraId="56BCA09B" w14:textId="6015970D" w:rsidR="00323601" w:rsidRPr="005924B5" w:rsidRDefault="00323601">
      <w:pPr>
        <w:spacing w:line="260" w:lineRule="exact"/>
        <w:rPr>
          <w:rFonts w:cs="Times New Roman"/>
          <w:sz w:val="22"/>
          <w:szCs w:val="22"/>
        </w:rPr>
      </w:pPr>
      <w:r w:rsidRPr="00323601">
        <w:rPr>
          <w:rFonts w:cs="Times New Roman"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33037737" w14:textId="77777777" w:rsidR="00BF4BF6" w:rsidRPr="005924B5" w:rsidRDefault="00BF4BF6">
      <w:pPr>
        <w:spacing w:line="260" w:lineRule="exact"/>
        <w:rPr>
          <w:rFonts w:cs="Times New Roman"/>
          <w:b/>
          <w:bCs/>
          <w:sz w:val="22"/>
          <w:szCs w:val="22"/>
        </w:rPr>
      </w:pPr>
    </w:p>
    <w:p w14:paraId="270139F2" w14:textId="77777777" w:rsidR="00BF4BF6" w:rsidRPr="005924B5" w:rsidRDefault="00A64AAE">
      <w:pPr>
        <w:spacing w:line="260" w:lineRule="exact"/>
        <w:rPr>
          <w:rFonts w:eastAsia="Times New Roman"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 xml:space="preserve">Megjegyzés: </w:t>
      </w:r>
      <w:r w:rsidRPr="005924B5">
        <w:rPr>
          <w:rFonts w:eastAsia="Times New Roman" w:cs="Times New Roman"/>
          <w:b/>
          <w:bCs/>
          <w:sz w:val="22"/>
          <w:szCs w:val="22"/>
        </w:rPr>
        <w:t>(keresztjelzés nélkül)</w:t>
      </w:r>
    </w:p>
    <w:p w14:paraId="7518BEE5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Osztályozás: II./2 csoport</w:t>
      </w:r>
    </w:p>
    <w:p w14:paraId="51604A0E" w14:textId="77777777" w:rsidR="00BF4BF6" w:rsidRPr="005924B5" w:rsidRDefault="00A64AAE">
      <w:pPr>
        <w:pStyle w:val="Cmsor2"/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Korlátozott érvényű orvosi rendelvényhez kötött, szakorvosi kórházi diagnózist követően folyamatos szakorvosi ellenőrzés mellett alkalmazható gyógyszer (</w:t>
      </w:r>
      <w:proofErr w:type="spellStart"/>
      <w:r w:rsidRPr="005924B5">
        <w:rPr>
          <w:rFonts w:cs="Times New Roman"/>
          <w:sz w:val="22"/>
          <w:szCs w:val="22"/>
        </w:rPr>
        <w:t>Sz</w:t>
      </w:r>
      <w:proofErr w:type="spellEnd"/>
      <w:r w:rsidRPr="005924B5">
        <w:rPr>
          <w:rFonts w:cs="Times New Roman"/>
          <w:sz w:val="22"/>
          <w:szCs w:val="22"/>
        </w:rPr>
        <w:t>).</w:t>
      </w:r>
    </w:p>
    <w:p w14:paraId="7605E675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5B66FB82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18CB7E60" w14:textId="6B9934BE" w:rsidR="00BF4BF6" w:rsidRPr="005924B5" w:rsidRDefault="00A64AAE">
      <w:pPr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7.</w:t>
      </w:r>
      <w:r w:rsidRPr="005924B5">
        <w:rPr>
          <w:rFonts w:cs="Times New Roman"/>
          <w:b/>
          <w:bCs/>
          <w:sz w:val="22"/>
          <w:szCs w:val="22"/>
        </w:rPr>
        <w:tab/>
      </w:r>
      <w:r w:rsidR="00CF273A">
        <w:rPr>
          <w:rFonts w:cs="Times New Roman"/>
          <w:b/>
          <w:bCs/>
          <w:sz w:val="22"/>
          <w:szCs w:val="22"/>
        </w:rPr>
        <w:t xml:space="preserve">A </w:t>
      </w:r>
      <w:r w:rsidRPr="005924B5">
        <w:rPr>
          <w:rFonts w:cs="Times New Roman"/>
          <w:b/>
          <w:bCs/>
          <w:sz w:val="22"/>
          <w:szCs w:val="22"/>
        </w:rPr>
        <w:t>FORGALOMBA HOZATALI ENGEDÉLY JOGOSULTJA</w:t>
      </w:r>
    </w:p>
    <w:p w14:paraId="51BBDBAD" w14:textId="77777777" w:rsidR="00BF4BF6" w:rsidRPr="005924B5" w:rsidRDefault="00BF4BF6">
      <w:pPr>
        <w:spacing w:line="260" w:lineRule="exact"/>
        <w:ind w:left="-15"/>
        <w:rPr>
          <w:rFonts w:cs="Times New Roman"/>
          <w:b/>
          <w:bCs/>
          <w:sz w:val="22"/>
          <w:szCs w:val="22"/>
        </w:rPr>
      </w:pPr>
    </w:p>
    <w:p w14:paraId="2EE75B88" w14:textId="77777777" w:rsidR="00BF4BF6" w:rsidRPr="005924B5" w:rsidRDefault="00A64AAE">
      <w:pPr>
        <w:spacing w:line="260" w:lineRule="exact"/>
        <w:ind w:left="-15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 xml:space="preserve">CHEPLAPHARM </w:t>
      </w:r>
      <w:proofErr w:type="spellStart"/>
      <w:r w:rsidRPr="005924B5">
        <w:rPr>
          <w:rFonts w:cs="Times New Roman"/>
          <w:sz w:val="22"/>
          <w:szCs w:val="22"/>
        </w:rPr>
        <w:t>Arzneimittel</w:t>
      </w:r>
      <w:proofErr w:type="spellEnd"/>
      <w:r w:rsidRPr="005924B5">
        <w:rPr>
          <w:rFonts w:cs="Times New Roman"/>
          <w:sz w:val="22"/>
          <w:szCs w:val="22"/>
        </w:rPr>
        <w:t xml:space="preserve"> GmbH</w:t>
      </w:r>
    </w:p>
    <w:p w14:paraId="7CAF4885" w14:textId="77777777" w:rsidR="00BF4BF6" w:rsidRPr="005924B5" w:rsidRDefault="00A64AAE">
      <w:pPr>
        <w:spacing w:line="260" w:lineRule="exact"/>
        <w:ind w:left="-15"/>
        <w:rPr>
          <w:rFonts w:cs="Times New Roman"/>
          <w:sz w:val="22"/>
          <w:szCs w:val="22"/>
        </w:rPr>
      </w:pPr>
      <w:proofErr w:type="spellStart"/>
      <w:r w:rsidRPr="005924B5">
        <w:rPr>
          <w:rFonts w:cs="Times New Roman"/>
          <w:sz w:val="22"/>
          <w:szCs w:val="22"/>
        </w:rPr>
        <w:t>Ziegelhof</w:t>
      </w:r>
      <w:proofErr w:type="spellEnd"/>
      <w:r w:rsidRPr="005924B5">
        <w:rPr>
          <w:rFonts w:cs="Times New Roman"/>
          <w:sz w:val="22"/>
          <w:szCs w:val="22"/>
        </w:rPr>
        <w:t xml:space="preserve"> 24, 17489 </w:t>
      </w:r>
      <w:proofErr w:type="spellStart"/>
      <w:r w:rsidRPr="005924B5">
        <w:rPr>
          <w:rFonts w:cs="Times New Roman"/>
          <w:sz w:val="22"/>
          <w:szCs w:val="22"/>
        </w:rPr>
        <w:t>Greifswald</w:t>
      </w:r>
      <w:proofErr w:type="spellEnd"/>
    </w:p>
    <w:p w14:paraId="6B7E0788" w14:textId="77777777" w:rsidR="00BF4BF6" w:rsidRPr="005924B5" w:rsidRDefault="00A64AAE">
      <w:pPr>
        <w:spacing w:line="260" w:lineRule="exact"/>
        <w:ind w:left="-15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Németország</w:t>
      </w:r>
    </w:p>
    <w:p w14:paraId="5CF3D7ED" w14:textId="77777777" w:rsidR="00BF4BF6" w:rsidRPr="005924B5" w:rsidRDefault="00BF4BF6">
      <w:pPr>
        <w:spacing w:line="260" w:lineRule="exact"/>
        <w:ind w:left="-15"/>
        <w:rPr>
          <w:rFonts w:cs="Times New Roman"/>
          <w:sz w:val="22"/>
          <w:szCs w:val="22"/>
        </w:rPr>
      </w:pPr>
    </w:p>
    <w:p w14:paraId="11AF921E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17853569" w14:textId="3750AEC1" w:rsidR="00BF4BF6" w:rsidRPr="005924B5" w:rsidRDefault="00A64AAE">
      <w:pPr>
        <w:keepNext/>
        <w:spacing w:line="260" w:lineRule="exact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8.</w:t>
      </w:r>
      <w:r w:rsidRPr="005924B5">
        <w:rPr>
          <w:rFonts w:cs="Times New Roman"/>
          <w:b/>
          <w:bCs/>
          <w:sz w:val="22"/>
          <w:szCs w:val="22"/>
        </w:rPr>
        <w:tab/>
        <w:t>A FORGALOMBA HOZATALI ENGEDÉLY SZÁMA</w:t>
      </w:r>
    </w:p>
    <w:p w14:paraId="6C5EAC92" w14:textId="77777777" w:rsidR="00BF4BF6" w:rsidRPr="005924B5" w:rsidRDefault="00BF4BF6">
      <w:pPr>
        <w:keepNext/>
        <w:spacing w:line="260" w:lineRule="exact"/>
        <w:rPr>
          <w:rFonts w:cs="Times New Roman"/>
          <w:sz w:val="22"/>
          <w:szCs w:val="22"/>
        </w:rPr>
      </w:pPr>
    </w:p>
    <w:p w14:paraId="070F5C6C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OGYI-T-5060/03</w:t>
      </w:r>
    </w:p>
    <w:p w14:paraId="7359469D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42F6FBC2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18250B95" w14:textId="000AC107" w:rsidR="00BF4BF6" w:rsidRPr="005924B5" w:rsidRDefault="00A64AAE" w:rsidP="00591626">
      <w:pPr>
        <w:widowControl/>
        <w:spacing w:line="260" w:lineRule="exact"/>
        <w:ind w:left="567" w:hanging="567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lastRenderedPageBreak/>
        <w:t>9.</w:t>
      </w:r>
      <w:r w:rsidRPr="005924B5">
        <w:rPr>
          <w:rFonts w:cs="Times New Roman"/>
          <w:b/>
          <w:bCs/>
          <w:sz w:val="22"/>
          <w:szCs w:val="22"/>
        </w:rPr>
        <w:tab/>
        <w:t>A FORGALOMBA</w:t>
      </w:r>
      <w:r w:rsidR="00CF273A">
        <w:rPr>
          <w:rFonts w:cs="Times New Roman"/>
          <w:b/>
          <w:bCs/>
          <w:sz w:val="22"/>
          <w:szCs w:val="22"/>
        </w:rPr>
        <w:t xml:space="preserve"> </w:t>
      </w:r>
      <w:r w:rsidRPr="005924B5">
        <w:rPr>
          <w:rFonts w:cs="Times New Roman"/>
          <w:b/>
          <w:bCs/>
          <w:sz w:val="22"/>
          <w:szCs w:val="22"/>
        </w:rPr>
        <w:t xml:space="preserve">HOZATALI ENGEDÉLY </w:t>
      </w:r>
      <w:r w:rsidR="00CF273A">
        <w:rPr>
          <w:rFonts w:cs="Times New Roman"/>
          <w:b/>
          <w:bCs/>
          <w:sz w:val="22"/>
          <w:szCs w:val="22"/>
        </w:rPr>
        <w:t xml:space="preserve">ELSŐ </w:t>
      </w:r>
      <w:r w:rsidRPr="005924B5">
        <w:rPr>
          <w:rFonts w:cs="Times New Roman"/>
          <w:b/>
          <w:bCs/>
          <w:sz w:val="22"/>
          <w:szCs w:val="22"/>
        </w:rPr>
        <w:t>KIADÁSÁNAK / MEGÚJÍTÁSÁNAK DÁTUMA</w:t>
      </w:r>
    </w:p>
    <w:p w14:paraId="603A1F41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0CDEF6F" w14:textId="77777777" w:rsidR="00BF4BF6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 forgalomba hozatali engedély első kiadásának dátuma: 1996. május 24.</w:t>
      </w:r>
    </w:p>
    <w:p w14:paraId="6A519B47" w14:textId="77777777" w:rsidR="00CF273A" w:rsidRPr="005924B5" w:rsidRDefault="00CF273A">
      <w:pPr>
        <w:spacing w:line="260" w:lineRule="exact"/>
        <w:rPr>
          <w:rFonts w:cs="Times New Roman"/>
          <w:sz w:val="22"/>
          <w:szCs w:val="22"/>
        </w:rPr>
      </w:pPr>
    </w:p>
    <w:p w14:paraId="67674199" w14:textId="77777777" w:rsidR="00BF4BF6" w:rsidRPr="005924B5" w:rsidRDefault="00A64AAE">
      <w:pPr>
        <w:spacing w:line="260" w:lineRule="exact"/>
        <w:rPr>
          <w:rFonts w:cs="Times New Roman"/>
          <w:sz w:val="22"/>
          <w:szCs w:val="22"/>
        </w:rPr>
      </w:pPr>
      <w:r w:rsidRPr="005924B5">
        <w:rPr>
          <w:rFonts w:cs="Times New Roman"/>
          <w:sz w:val="22"/>
          <w:szCs w:val="22"/>
        </w:rPr>
        <w:t>A forgalomba hozatali engedély legutóbbi megújításának dátuma: 2009. február 16.</w:t>
      </w:r>
    </w:p>
    <w:p w14:paraId="7F4C8756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35F0D8A4" w14:textId="77777777" w:rsidR="00BF4BF6" w:rsidRPr="005924B5" w:rsidRDefault="00BF4BF6">
      <w:pPr>
        <w:spacing w:line="260" w:lineRule="exact"/>
        <w:rPr>
          <w:rFonts w:cs="Times New Roman"/>
          <w:sz w:val="22"/>
          <w:szCs w:val="22"/>
        </w:rPr>
      </w:pPr>
    </w:p>
    <w:p w14:paraId="73B3E2B8" w14:textId="77777777" w:rsidR="00BF4BF6" w:rsidRPr="005924B5" w:rsidRDefault="00A64AAE">
      <w:pPr>
        <w:tabs>
          <w:tab w:val="left" w:pos="567"/>
        </w:tabs>
        <w:spacing w:line="260" w:lineRule="exact"/>
        <w:ind w:left="-15"/>
        <w:rPr>
          <w:rFonts w:cs="Times New Roman"/>
          <w:b/>
          <w:bCs/>
          <w:sz w:val="22"/>
          <w:szCs w:val="22"/>
        </w:rPr>
      </w:pPr>
      <w:r w:rsidRPr="005924B5">
        <w:rPr>
          <w:rFonts w:cs="Times New Roman"/>
          <w:b/>
          <w:bCs/>
          <w:sz w:val="22"/>
          <w:szCs w:val="22"/>
        </w:rPr>
        <w:t>10.</w:t>
      </w:r>
      <w:r w:rsidRPr="005924B5">
        <w:rPr>
          <w:rFonts w:cs="Times New Roman"/>
          <w:b/>
          <w:bCs/>
          <w:sz w:val="22"/>
          <w:szCs w:val="22"/>
        </w:rPr>
        <w:tab/>
        <w:t>A SZÖVEG ELLENŐRZÉSÉNEK DÁTUMA</w:t>
      </w:r>
    </w:p>
    <w:p w14:paraId="570D9033" w14:textId="77777777" w:rsidR="00BF4BF6" w:rsidRPr="005924B5" w:rsidRDefault="00BF4BF6">
      <w:pPr>
        <w:spacing w:line="260" w:lineRule="exact"/>
        <w:ind w:left="-15"/>
        <w:rPr>
          <w:rFonts w:cs="Times New Roman"/>
          <w:sz w:val="22"/>
          <w:szCs w:val="22"/>
        </w:rPr>
      </w:pPr>
    </w:p>
    <w:p w14:paraId="3E61C8D2" w14:textId="66738DB1" w:rsidR="00BF4BF6" w:rsidRPr="007B27E9" w:rsidRDefault="007B27E9">
      <w:pPr>
        <w:spacing w:line="260" w:lineRule="exact"/>
        <w:ind w:left="-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2026. február </w:t>
      </w:r>
      <w:r w:rsidR="00CD36E2">
        <w:rPr>
          <w:rFonts w:cs="Times New Roman"/>
          <w:sz w:val="22"/>
          <w:szCs w:val="22"/>
        </w:rPr>
        <w:t>26</w:t>
      </w:r>
      <w:r>
        <w:rPr>
          <w:rFonts w:cs="Times New Roman"/>
          <w:sz w:val="22"/>
          <w:szCs w:val="22"/>
        </w:rPr>
        <w:t>.</w:t>
      </w:r>
    </w:p>
    <w:sectPr w:rsidR="00BF4BF6" w:rsidRPr="007B27E9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132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9351C1" w14:textId="77777777" w:rsidR="000F13E4" w:rsidRDefault="000F13E4">
      <w:r>
        <w:separator/>
      </w:r>
    </w:p>
  </w:endnote>
  <w:endnote w:type="continuationSeparator" w:id="0">
    <w:p w14:paraId="57DF779F" w14:textId="77777777" w:rsidR="000F13E4" w:rsidRDefault="000F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tarSymbol">
    <w:altName w:val="Arial Unicode MS"/>
    <w:charset w:val="02"/>
    <w:family w:val="auto"/>
    <w:pitch w:val="default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DC0CA" w14:textId="7A0FB130" w:rsidR="00BF4BF6" w:rsidRPr="00A9229A" w:rsidRDefault="0089720F" w:rsidP="00A9229A">
    <w:pPr>
      <w:pStyle w:val="llb"/>
      <w:rPr>
        <w:sz w:val="18"/>
        <w:szCs w:val="18"/>
      </w:rPr>
    </w:pPr>
    <w:r>
      <w:rPr>
        <w:sz w:val="18"/>
        <w:szCs w:val="18"/>
      </w:rPr>
      <w:t>NNGYK/ETGY/7653</w:t>
    </w:r>
    <w:r w:rsidRPr="0089720F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FBFE3" w14:textId="77777777" w:rsidR="000F13E4" w:rsidRDefault="000F13E4">
      <w:r>
        <w:separator/>
      </w:r>
    </w:p>
  </w:footnote>
  <w:footnote w:type="continuationSeparator" w:id="0">
    <w:p w14:paraId="3E038AD5" w14:textId="77777777" w:rsidR="000F13E4" w:rsidRDefault="000F1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69587" w14:textId="42A7D652" w:rsidR="00BF4BF6" w:rsidRDefault="00A64AAE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\*ARABIC </w:instrText>
    </w:r>
    <w:r>
      <w:rPr>
        <w:sz w:val="18"/>
        <w:szCs w:val="18"/>
      </w:rPr>
      <w:fldChar w:fldCharType="separate"/>
    </w:r>
    <w:r w:rsidR="00591626">
      <w:rPr>
        <w:noProof/>
        <w:sz w:val="18"/>
        <w:szCs w:val="18"/>
      </w:rPr>
      <w:t>8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A833B" w14:textId="77777777" w:rsidR="00BF4BF6" w:rsidRDefault="00BF4BF6">
    <w:pPr>
      <w:tabs>
        <w:tab w:val="center" w:pos="1843"/>
        <w:tab w:val="left" w:pos="5940"/>
        <w:tab w:val="left" w:pos="6675"/>
      </w:tabs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multilevel"/>
    <w:tmpl w:val="00000007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A8366E8"/>
    <w:multiLevelType w:val="hybridMultilevel"/>
    <w:tmpl w:val="6360CD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A0449"/>
    <w:multiLevelType w:val="hybridMultilevel"/>
    <w:tmpl w:val="27A40C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155B3"/>
    <w:multiLevelType w:val="hybridMultilevel"/>
    <w:tmpl w:val="07A4881E"/>
    <w:lvl w:ilvl="0" w:tplc="F8DCA54E">
      <w:start w:val="5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444C8"/>
    <w:multiLevelType w:val="multilevel"/>
    <w:tmpl w:val="F7924F3E"/>
    <w:lvl w:ilvl="0">
      <w:start w:val="1"/>
      <w:numFmt w:val="bullet"/>
      <w:lvlText w:val="-"/>
      <w:lvlJc w:val="left"/>
      <w:pPr>
        <w:tabs>
          <w:tab w:val="num" w:pos="207"/>
        </w:tabs>
        <w:ind w:left="207" w:hanging="207"/>
      </w:pPr>
      <w:rPr>
        <w:rFonts w:ascii="Dotum" w:eastAsia="Dotum" w:hAnsi="Dotum" w:cs="Dotum" w:hint="eastAsia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211735B4"/>
    <w:multiLevelType w:val="hybridMultilevel"/>
    <w:tmpl w:val="EFC4DA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08052E"/>
    <w:multiLevelType w:val="multilevel"/>
    <w:tmpl w:val="EDD4615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151268A"/>
    <w:multiLevelType w:val="hybridMultilevel"/>
    <w:tmpl w:val="86E0A9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24E55"/>
    <w:multiLevelType w:val="hybridMultilevel"/>
    <w:tmpl w:val="F26A72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D5766"/>
    <w:multiLevelType w:val="hybridMultilevel"/>
    <w:tmpl w:val="D026BF54"/>
    <w:name w:val="WW8Num32"/>
    <w:lvl w:ilvl="0" w:tplc="E668A71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3625CB8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79079C"/>
    <w:multiLevelType w:val="hybridMultilevel"/>
    <w:tmpl w:val="A05EE4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08265C"/>
    <w:multiLevelType w:val="hybridMultilevel"/>
    <w:tmpl w:val="82DA4678"/>
    <w:lvl w:ilvl="0" w:tplc="83F26D26">
      <w:start w:val="1"/>
      <w:numFmt w:val="bullet"/>
      <w:lvlText w:val="-"/>
      <w:lvlJc w:val="left"/>
      <w:pPr>
        <w:tabs>
          <w:tab w:val="num" w:pos="567"/>
        </w:tabs>
        <w:ind w:left="567" w:hanging="207"/>
      </w:pPr>
      <w:rPr>
        <w:rFonts w:ascii="Dotum" w:eastAsia="Dotum" w:hAnsi="Dotum" w:cs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A5465B"/>
    <w:multiLevelType w:val="hybridMultilevel"/>
    <w:tmpl w:val="8716F1DA"/>
    <w:lvl w:ilvl="0" w:tplc="83F26D26">
      <w:start w:val="1"/>
      <w:numFmt w:val="bullet"/>
      <w:lvlText w:val="-"/>
      <w:lvlJc w:val="left"/>
      <w:pPr>
        <w:tabs>
          <w:tab w:val="num" w:pos="927"/>
        </w:tabs>
        <w:ind w:left="927" w:hanging="207"/>
      </w:pPr>
      <w:rPr>
        <w:rFonts w:ascii="Dotum" w:eastAsia="Dotum" w:hAnsi="Dotum" w:cs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E2B5D49"/>
    <w:multiLevelType w:val="hybridMultilevel"/>
    <w:tmpl w:val="22765BCC"/>
    <w:name w:val="WW8Num42"/>
    <w:lvl w:ilvl="0" w:tplc="83F26D26">
      <w:start w:val="1"/>
      <w:numFmt w:val="bullet"/>
      <w:lvlText w:val="-"/>
      <w:lvlJc w:val="left"/>
      <w:pPr>
        <w:tabs>
          <w:tab w:val="num" w:pos="567"/>
        </w:tabs>
        <w:ind w:left="567" w:hanging="207"/>
      </w:pPr>
      <w:rPr>
        <w:rFonts w:ascii="Dotum" w:eastAsia="Dotum" w:hAnsi="Dotum" w:cs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E359D"/>
    <w:multiLevelType w:val="hybridMultilevel"/>
    <w:tmpl w:val="1D1ADE16"/>
    <w:name w:val="WW8Num322"/>
    <w:lvl w:ilvl="0" w:tplc="33E8D774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Helvetica" w:hAnsi="Helvetic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C6E98"/>
    <w:multiLevelType w:val="hybridMultilevel"/>
    <w:tmpl w:val="0C7C61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9"/>
  </w:num>
  <w:num w:numId="9">
    <w:abstractNumId w:val="10"/>
  </w:num>
  <w:num w:numId="10">
    <w:abstractNumId w:val="12"/>
  </w:num>
  <w:num w:numId="11">
    <w:abstractNumId w:val="17"/>
  </w:num>
  <w:num w:numId="12">
    <w:abstractNumId w:val="18"/>
  </w:num>
  <w:num w:numId="13">
    <w:abstractNumId w:val="7"/>
  </w:num>
  <w:num w:numId="14">
    <w:abstractNumId w:val="13"/>
  </w:num>
  <w:num w:numId="15">
    <w:abstractNumId w:val="21"/>
  </w:num>
  <w:num w:numId="16">
    <w:abstractNumId w:val="16"/>
  </w:num>
  <w:num w:numId="17">
    <w:abstractNumId w:val="14"/>
  </w:num>
  <w:num w:numId="18">
    <w:abstractNumId w:val="11"/>
  </w:num>
  <w:num w:numId="19">
    <w:abstractNumId w:val="9"/>
  </w:num>
  <w:num w:numId="20">
    <w:abstractNumId w:val="15"/>
  </w:num>
  <w:num w:numId="21">
    <w:abstractNumId w:val="20"/>
  </w:num>
  <w:num w:numId="22">
    <w:abstractNumId w:val="14"/>
  </w:num>
  <w:num w:numId="23">
    <w:abstractNumId w:val="16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BF6"/>
    <w:rsid w:val="000469DA"/>
    <w:rsid w:val="00055611"/>
    <w:rsid w:val="000609E5"/>
    <w:rsid w:val="000A7508"/>
    <w:rsid w:val="000F13E4"/>
    <w:rsid w:val="00102FFE"/>
    <w:rsid w:val="00125176"/>
    <w:rsid w:val="001447D2"/>
    <w:rsid w:val="001A675F"/>
    <w:rsid w:val="001D0FA5"/>
    <w:rsid w:val="00272DBD"/>
    <w:rsid w:val="00284C32"/>
    <w:rsid w:val="002B3F8E"/>
    <w:rsid w:val="002F4D54"/>
    <w:rsid w:val="00303494"/>
    <w:rsid w:val="00323601"/>
    <w:rsid w:val="003245D9"/>
    <w:rsid w:val="003A1CE9"/>
    <w:rsid w:val="00441538"/>
    <w:rsid w:val="004B3907"/>
    <w:rsid w:val="004E4102"/>
    <w:rsid w:val="004E6596"/>
    <w:rsid w:val="00551131"/>
    <w:rsid w:val="00583D1A"/>
    <w:rsid w:val="00591626"/>
    <w:rsid w:val="005924B5"/>
    <w:rsid w:val="005E7955"/>
    <w:rsid w:val="006C1C17"/>
    <w:rsid w:val="006D0935"/>
    <w:rsid w:val="007258C8"/>
    <w:rsid w:val="00756916"/>
    <w:rsid w:val="007915E6"/>
    <w:rsid w:val="007B27E9"/>
    <w:rsid w:val="007C69F3"/>
    <w:rsid w:val="00820345"/>
    <w:rsid w:val="00880346"/>
    <w:rsid w:val="0089720F"/>
    <w:rsid w:val="008D308B"/>
    <w:rsid w:val="008E3101"/>
    <w:rsid w:val="008E3746"/>
    <w:rsid w:val="008F0B55"/>
    <w:rsid w:val="009161D3"/>
    <w:rsid w:val="009A6BC0"/>
    <w:rsid w:val="00A1410F"/>
    <w:rsid w:val="00A14E47"/>
    <w:rsid w:val="00A21498"/>
    <w:rsid w:val="00A57301"/>
    <w:rsid w:val="00A64AAE"/>
    <w:rsid w:val="00A76E59"/>
    <w:rsid w:val="00A9229A"/>
    <w:rsid w:val="00AF68C4"/>
    <w:rsid w:val="00B069E6"/>
    <w:rsid w:val="00B13C4B"/>
    <w:rsid w:val="00BD61F9"/>
    <w:rsid w:val="00BF4BF6"/>
    <w:rsid w:val="00C07C8B"/>
    <w:rsid w:val="00CD36E2"/>
    <w:rsid w:val="00CF273A"/>
    <w:rsid w:val="00DB585A"/>
    <w:rsid w:val="00E45CC1"/>
    <w:rsid w:val="00E63F27"/>
    <w:rsid w:val="00E81249"/>
    <w:rsid w:val="00EA1E07"/>
    <w:rsid w:val="00EC25BF"/>
    <w:rsid w:val="00EE0565"/>
    <w:rsid w:val="00EF76FF"/>
    <w:rsid w:val="00F02C16"/>
    <w:rsid w:val="00F466F0"/>
    <w:rsid w:val="00F55A10"/>
    <w:rsid w:val="00F669DA"/>
    <w:rsid w:val="00F87D5A"/>
    <w:rsid w:val="00F92DEE"/>
    <w:rsid w:val="00FE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D436B"/>
  <w15:chartTrackingRefBased/>
  <w15:docId w15:val="{40750FF4-97DB-4D3E-A3A7-E8B9C997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Arial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  <w:lang w:eastAsia="zh-CN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2z0">
    <w:name w:val="WW-WW8Num2z0"/>
    <w:rPr>
      <w:rFonts w:ascii="Symbol" w:hAnsi="Symbol"/>
    </w:rPr>
  </w:style>
  <w:style w:type="character" w:customStyle="1" w:styleId="WW-WW8Num3z0">
    <w:name w:val="WW-WW8Num3z0"/>
    <w:rPr>
      <w:rFonts w:ascii="Symbol" w:hAnsi="Symbol"/>
    </w:rPr>
  </w:style>
  <w:style w:type="character" w:customStyle="1" w:styleId="WW-WW8Num4z0">
    <w:name w:val="WW-WW8Num4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2z01">
    <w:name w:val="WW-WW8Num2z01"/>
    <w:rPr>
      <w:rFonts w:ascii="Symbol" w:hAnsi="Symbol"/>
    </w:rPr>
  </w:style>
  <w:style w:type="character" w:customStyle="1" w:styleId="WW-WW8Num3z01">
    <w:name w:val="WW-WW8Num3z01"/>
    <w:rPr>
      <w:rFonts w:ascii="Symbol" w:hAnsi="Symbol"/>
    </w:rPr>
  </w:style>
  <w:style w:type="character" w:customStyle="1" w:styleId="WW-WW8Num4z01">
    <w:name w:val="WW-WW8Num4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-WW8Num4z011">
    <w:name w:val="WW-WW8Num4z011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St9z0">
    <w:name w:val="WW8NumSt9z0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customStyle="1" w:styleId="WW-Cmsor11">
    <w:name w:val="WW-Címsor11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pPr>
      <w:suppressLineNumbers/>
      <w:tabs>
        <w:tab w:val="center" w:pos="4818"/>
        <w:tab w:val="right" w:pos="9637"/>
      </w:tabs>
    </w:p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WW-Tblzattartalom1">
    <w:name w:val="WW-Táblázattartalom1"/>
    <w:basedOn w:val="Szvegtrzs"/>
    <w:pPr>
      <w:suppressLineNumbers/>
    </w:pPr>
  </w:style>
  <w:style w:type="paragraph" w:customStyle="1" w:styleId="WW-Tblzattartalom11">
    <w:name w:val="WW-Táblázattartalom11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customStyle="1" w:styleId="WW-Tblzatfejlc1">
    <w:name w:val="WW-Táblázatfejléc1"/>
    <w:basedOn w:val="WW-Tblzattartalom1"/>
    <w:pPr>
      <w:jc w:val="center"/>
    </w:pPr>
    <w:rPr>
      <w:b/>
      <w:bCs/>
      <w:i/>
      <w:iCs/>
    </w:rPr>
  </w:style>
  <w:style w:type="paragraph" w:customStyle="1" w:styleId="WW-Tblzatfejlc11">
    <w:name w:val="WW-Táblázatfejléc11"/>
    <w:basedOn w:val="WW-Tblzattartalom11"/>
    <w:pPr>
      <w:jc w:val="center"/>
    </w:pPr>
    <w:rPr>
      <w:b/>
      <w:bCs/>
      <w:i/>
      <w:iCs/>
    </w:rPr>
  </w:style>
  <w:style w:type="paragraph" w:customStyle="1" w:styleId="WW-Felirat11">
    <w:name w:val="WW-Felirat11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WW-Trgymutat11">
    <w:name w:val="WW-Tárgymutató11"/>
    <w:basedOn w:val="Norml"/>
    <w:pPr>
      <w:suppressLineNumbers/>
    </w:pPr>
  </w:style>
  <w:style w:type="paragraph" w:customStyle="1" w:styleId="Szvegtrzs21">
    <w:name w:val="Szövegtörzs 21"/>
    <w:basedOn w:val="Norml"/>
  </w:style>
  <w:style w:type="paragraph" w:customStyle="1" w:styleId="Szvegtrzs31">
    <w:name w:val="Szövegtörzs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l1">
    <w:name w:val="Normál1"/>
    <w:basedOn w:val="Norml"/>
    <w:rPr>
      <w:sz w:val="20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Pr>
      <w:rFonts w:eastAsia="HG Mincho Light J"/>
      <w:color w:val="000000"/>
      <w:sz w:val="24"/>
      <w:szCs w:val="24"/>
    </w:rPr>
  </w:style>
  <w:style w:type="character" w:customStyle="1" w:styleId="JegyzetszvegChar">
    <w:name w:val="Jegyzetszöveg Char"/>
    <w:link w:val="Jegyzetszveg"/>
    <w:rPr>
      <w:rFonts w:eastAsia="HG Mincho Light J"/>
      <w:color w:val="000000"/>
    </w:rPr>
  </w:style>
  <w:style w:type="paragraph" w:styleId="Vltozat">
    <w:name w:val="Revision"/>
    <w:hidden/>
    <w:uiPriority w:val="99"/>
    <w:semiHidden/>
    <w:rsid w:val="00A1410F"/>
    <w:rPr>
      <w:rFonts w:eastAsia="HG Mincho Light J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3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2512</Words>
  <Characters>17335</Characters>
  <Application>Microsoft Office Word</Application>
  <DocSecurity>0</DocSecurity>
  <Lines>144</Lines>
  <Paragraphs>39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sanofi-aventis</Company>
  <LinksUpToDate>false</LinksUpToDate>
  <CharactersWithSpaces>19808</CharactersWithSpaces>
  <SharedDoc>false</SharedDoc>
  <HLinks>
    <vt:vector size="18" baseType="variant">
      <vt:variant>
        <vt:i4>7143490</vt:i4>
      </vt:variant>
      <vt:variant>
        <vt:i4>9</vt:i4>
      </vt:variant>
      <vt:variant>
        <vt:i4>0</vt:i4>
      </vt:variant>
      <vt:variant>
        <vt:i4>5</vt:i4>
      </vt:variant>
      <vt:variant>
        <vt:lpwstr>mailto:adr.box@ogyei.gov.hu</vt:lpwstr>
      </vt:variant>
      <vt:variant>
        <vt:lpwstr/>
      </vt:variant>
      <vt:variant>
        <vt:i4>4522061</vt:i4>
      </vt:variant>
      <vt:variant>
        <vt:i4>6</vt:i4>
      </vt:variant>
      <vt:variant>
        <vt:i4>0</vt:i4>
      </vt:variant>
      <vt:variant>
        <vt:i4>5</vt:i4>
      </vt:variant>
      <vt:variant>
        <vt:lpwstr>https://mellekhatas.ogyei.gov.hu/</vt:lpwstr>
      </vt:variant>
      <vt:variant>
        <vt:lpwstr/>
      </vt:variant>
      <vt:variant>
        <vt:i4>6684726</vt:i4>
      </vt:variant>
      <vt:variant>
        <vt:i4>3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MedRep</dc:creator>
  <cp:keywords/>
  <cp:lastModifiedBy>HU_OGYEI_16.1.2</cp:lastModifiedBy>
  <cp:revision>3</cp:revision>
  <cp:lastPrinted>2013-03-14T14:06:00Z</cp:lastPrinted>
  <dcterms:created xsi:type="dcterms:W3CDTF">2026-04-10T15:02:00Z</dcterms:created>
  <dcterms:modified xsi:type="dcterms:W3CDTF">2026-04-10T15:02:00Z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