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38B5FE" w14:textId="77777777" w:rsidR="00653FB4" w:rsidRDefault="00F82C95">
      <w:pPr>
        <w:spacing w:line="260" w:lineRule="exact"/>
        <w:rPr>
          <w:b/>
          <w:bCs/>
          <w:sz w:val="22"/>
        </w:rPr>
      </w:pPr>
      <w:bookmarkStart w:id="0" w:name="_GoBack"/>
      <w:bookmarkEnd w:id="0"/>
      <w:r>
        <w:rPr>
          <w:b/>
          <w:bCs/>
          <w:sz w:val="22"/>
        </w:rPr>
        <w:t>1.</w:t>
      </w:r>
      <w:r>
        <w:rPr>
          <w:b/>
          <w:bCs/>
          <w:sz w:val="22"/>
        </w:rPr>
        <w:tab/>
        <w:t>A GYÓGYSZER NEVE</w:t>
      </w:r>
    </w:p>
    <w:p w14:paraId="58AABCCB" w14:textId="77777777" w:rsidR="00653FB4" w:rsidRDefault="00653FB4">
      <w:pPr>
        <w:spacing w:line="260" w:lineRule="exact"/>
        <w:rPr>
          <w:sz w:val="22"/>
        </w:rPr>
      </w:pPr>
    </w:p>
    <w:p w14:paraId="2919AAB0" w14:textId="72AE19D9" w:rsidR="00653FB4" w:rsidRPr="00B418C4" w:rsidRDefault="00F82C95">
      <w:pPr>
        <w:spacing w:line="260" w:lineRule="exact"/>
        <w:rPr>
          <w:sz w:val="22"/>
        </w:rPr>
      </w:pPr>
      <w:r w:rsidRPr="00B418C4">
        <w:rPr>
          <w:sz w:val="22"/>
        </w:rPr>
        <w:t xml:space="preserve">Exacyl filmtabletta </w:t>
      </w:r>
    </w:p>
    <w:p w14:paraId="58B5EDD7" w14:textId="77777777" w:rsidR="00653FB4" w:rsidRDefault="00653FB4">
      <w:pPr>
        <w:spacing w:line="260" w:lineRule="exact"/>
        <w:rPr>
          <w:sz w:val="22"/>
        </w:rPr>
      </w:pPr>
    </w:p>
    <w:p w14:paraId="56722B05" w14:textId="77777777" w:rsidR="00653FB4" w:rsidRDefault="00653FB4">
      <w:pPr>
        <w:spacing w:line="260" w:lineRule="exact"/>
        <w:rPr>
          <w:sz w:val="22"/>
        </w:rPr>
      </w:pPr>
    </w:p>
    <w:p w14:paraId="74E93774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2.</w:t>
      </w:r>
      <w:r>
        <w:rPr>
          <w:b/>
          <w:bCs/>
          <w:sz w:val="22"/>
        </w:rPr>
        <w:tab/>
        <w:t>MINŐSÉGI ÉS MENNYISÉGI ÖSSZETÉTEL</w:t>
      </w:r>
    </w:p>
    <w:p w14:paraId="320158C6" w14:textId="77777777" w:rsidR="00653FB4" w:rsidRDefault="00653FB4">
      <w:pPr>
        <w:spacing w:line="260" w:lineRule="exact"/>
        <w:rPr>
          <w:sz w:val="22"/>
        </w:rPr>
      </w:pPr>
    </w:p>
    <w:p w14:paraId="78B77287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Exacyl filmtabletta: 500 mg tranexámsav filmtablettánként.</w:t>
      </w:r>
    </w:p>
    <w:p w14:paraId="30B193A3" w14:textId="77777777" w:rsidR="00653FB4" w:rsidRDefault="00653FB4">
      <w:pPr>
        <w:spacing w:line="260" w:lineRule="exact"/>
        <w:rPr>
          <w:sz w:val="22"/>
        </w:rPr>
      </w:pPr>
    </w:p>
    <w:p w14:paraId="2779B1F4" w14:textId="77777777" w:rsidR="00653FB4" w:rsidRDefault="00F82C95">
      <w:pPr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Ismert hatású segédanyagok:</w:t>
      </w:r>
    </w:p>
    <w:p w14:paraId="02AC9A09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96 mg szacharóz filmtablettánként.</w:t>
      </w:r>
    </w:p>
    <w:p w14:paraId="329E0E2F" w14:textId="1D9AB524" w:rsidR="00653FB4" w:rsidRDefault="00F82C95">
      <w:pPr>
        <w:spacing w:line="260" w:lineRule="exact"/>
        <w:rPr>
          <w:sz w:val="22"/>
        </w:rPr>
      </w:pPr>
      <w:r>
        <w:rPr>
          <w:sz w:val="22"/>
        </w:rPr>
        <w:t>97 mg búzakeményítő filmtablettánként (legfeljebb 9,7</w:t>
      </w:r>
      <w:r w:rsidR="00967560">
        <w:rPr>
          <w:sz w:val="22"/>
        </w:rPr>
        <w:t> </w:t>
      </w:r>
      <w:r>
        <w:rPr>
          <w:sz w:val="22"/>
        </w:rPr>
        <w:t>mikrogramm glutént tartalmaz).</w:t>
      </w:r>
    </w:p>
    <w:p w14:paraId="7492DC6B" w14:textId="77777777" w:rsidR="00653FB4" w:rsidRDefault="00653FB4">
      <w:pPr>
        <w:spacing w:line="260" w:lineRule="exact"/>
        <w:rPr>
          <w:sz w:val="22"/>
        </w:rPr>
      </w:pPr>
    </w:p>
    <w:p w14:paraId="411EE052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A segédanyagok teljes listáját lásd a 6.1 pontban.</w:t>
      </w:r>
    </w:p>
    <w:p w14:paraId="58906F65" w14:textId="77777777" w:rsidR="00653FB4" w:rsidRDefault="00653FB4">
      <w:pPr>
        <w:spacing w:line="260" w:lineRule="exact"/>
        <w:rPr>
          <w:sz w:val="22"/>
        </w:rPr>
      </w:pPr>
    </w:p>
    <w:p w14:paraId="380E6C14" w14:textId="77777777" w:rsidR="00653FB4" w:rsidRDefault="00653FB4">
      <w:pPr>
        <w:spacing w:line="260" w:lineRule="exact"/>
        <w:rPr>
          <w:sz w:val="22"/>
        </w:rPr>
      </w:pPr>
    </w:p>
    <w:p w14:paraId="1C5514CF" w14:textId="77777777" w:rsidR="00653FB4" w:rsidRDefault="00F82C95">
      <w:pPr>
        <w:spacing w:line="260" w:lineRule="exact"/>
        <w:ind w:left="-15"/>
        <w:rPr>
          <w:b/>
          <w:bCs/>
          <w:sz w:val="22"/>
        </w:rPr>
      </w:pPr>
      <w:r>
        <w:rPr>
          <w:b/>
          <w:bCs/>
          <w:sz w:val="22"/>
        </w:rPr>
        <w:t>3.</w:t>
      </w:r>
      <w:r>
        <w:rPr>
          <w:b/>
          <w:bCs/>
          <w:sz w:val="22"/>
        </w:rPr>
        <w:tab/>
        <w:t>GYÓGYSZERFORMA</w:t>
      </w:r>
    </w:p>
    <w:p w14:paraId="070BFF00" w14:textId="77777777" w:rsidR="00653FB4" w:rsidRDefault="00653FB4">
      <w:pPr>
        <w:spacing w:line="260" w:lineRule="exact"/>
        <w:ind w:left="-15"/>
        <w:rPr>
          <w:sz w:val="22"/>
        </w:rPr>
      </w:pPr>
    </w:p>
    <w:p w14:paraId="72426682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Filmtabletta</w:t>
      </w:r>
    </w:p>
    <w:p w14:paraId="78637C50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Kerek, fehér, mindkét oldalán domború, filmbevonatú tabletta.</w:t>
      </w:r>
    </w:p>
    <w:p w14:paraId="1BA50944" w14:textId="77777777" w:rsidR="00653FB4" w:rsidRDefault="00653FB4">
      <w:pPr>
        <w:spacing w:line="260" w:lineRule="exact"/>
        <w:rPr>
          <w:sz w:val="22"/>
        </w:rPr>
      </w:pPr>
    </w:p>
    <w:p w14:paraId="25614774" w14:textId="77777777" w:rsidR="00653FB4" w:rsidRDefault="00653FB4">
      <w:pPr>
        <w:spacing w:line="260" w:lineRule="exact"/>
        <w:rPr>
          <w:b/>
          <w:bCs/>
          <w:sz w:val="22"/>
        </w:rPr>
      </w:pPr>
    </w:p>
    <w:p w14:paraId="1FFEE723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4.</w:t>
      </w:r>
      <w:r>
        <w:rPr>
          <w:b/>
          <w:bCs/>
          <w:sz w:val="22"/>
        </w:rPr>
        <w:tab/>
        <w:t>KLINIKAI JELLEMZŐK</w:t>
      </w:r>
    </w:p>
    <w:p w14:paraId="10F5F3D2" w14:textId="77777777" w:rsidR="00653FB4" w:rsidRDefault="00653FB4">
      <w:pPr>
        <w:spacing w:line="260" w:lineRule="exact"/>
        <w:rPr>
          <w:sz w:val="22"/>
        </w:rPr>
      </w:pPr>
    </w:p>
    <w:p w14:paraId="46978B6B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4.1</w:t>
      </w:r>
      <w:r>
        <w:rPr>
          <w:b/>
          <w:bCs/>
          <w:sz w:val="22"/>
        </w:rPr>
        <w:tab/>
        <w:t>Terápiás javallatok</w:t>
      </w:r>
    </w:p>
    <w:p w14:paraId="3ECC5054" w14:textId="77777777" w:rsidR="00653FB4" w:rsidRDefault="00653FB4">
      <w:pPr>
        <w:spacing w:line="260" w:lineRule="exact"/>
        <w:rPr>
          <w:b/>
          <w:bCs/>
          <w:sz w:val="22"/>
        </w:rPr>
      </w:pPr>
    </w:p>
    <w:p w14:paraId="3F3272CB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Az Exacyl filmtabletta generalizált vagy helyi fibrinolysis következtében kialakult vérzések megelőzésére és kezelésére ajánlott felnőttek számára, az alábbi javallatok szerint:</w:t>
      </w:r>
    </w:p>
    <w:p w14:paraId="0D6AAC24" w14:textId="77777777" w:rsidR="00653FB4" w:rsidRDefault="00653FB4">
      <w:pPr>
        <w:spacing w:line="260" w:lineRule="exact"/>
        <w:rPr>
          <w:sz w:val="22"/>
        </w:rPr>
      </w:pPr>
    </w:p>
    <w:p w14:paraId="505AA51D" w14:textId="77777777" w:rsidR="00653FB4" w:rsidRDefault="00F82C95">
      <w:pPr>
        <w:numPr>
          <w:ilvl w:val="0"/>
          <w:numId w:val="17"/>
        </w:numPr>
        <w:spacing w:line="260" w:lineRule="exact"/>
        <w:rPr>
          <w:sz w:val="22"/>
        </w:rPr>
      </w:pPr>
      <w:r>
        <w:rPr>
          <w:sz w:val="22"/>
        </w:rPr>
        <w:t>Generalizált vagy helyi fibrinolysis következtében kialakult vérzés, úgymint:</w:t>
      </w:r>
    </w:p>
    <w:p w14:paraId="407D20AD" w14:textId="77777777" w:rsidR="00653FB4" w:rsidRDefault="00F82C95">
      <w:pPr>
        <w:numPr>
          <w:ilvl w:val="0"/>
          <w:numId w:val="17"/>
        </w:numPr>
        <w:tabs>
          <w:tab w:val="clear" w:pos="567"/>
          <w:tab w:val="num" w:pos="1134"/>
        </w:tabs>
        <w:spacing w:line="260" w:lineRule="exact"/>
        <w:ind w:left="1134"/>
        <w:rPr>
          <w:sz w:val="22"/>
        </w:rPr>
      </w:pPr>
      <w:r>
        <w:rPr>
          <w:sz w:val="22"/>
        </w:rPr>
        <w:t>Menorrhagia és metrorrhagia</w:t>
      </w:r>
    </w:p>
    <w:p w14:paraId="1B5B7035" w14:textId="77777777" w:rsidR="00653FB4" w:rsidRDefault="00F82C95">
      <w:pPr>
        <w:numPr>
          <w:ilvl w:val="0"/>
          <w:numId w:val="17"/>
        </w:numPr>
        <w:tabs>
          <w:tab w:val="clear" w:pos="567"/>
          <w:tab w:val="num" w:pos="1134"/>
        </w:tabs>
        <w:spacing w:line="260" w:lineRule="exact"/>
        <w:ind w:left="1134"/>
        <w:rPr>
          <w:sz w:val="22"/>
        </w:rPr>
      </w:pPr>
      <w:r>
        <w:rPr>
          <w:sz w:val="22"/>
        </w:rPr>
        <w:t>Gastrointestinalis vérzés</w:t>
      </w:r>
    </w:p>
    <w:p w14:paraId="1DEC4F30" w14:textId="77777777" w:rsidR="00653FB4" w:rsidRDefault="00F82C95">
      <w:pPr>
        <w:numPr>
          <w:ilvl w:val="0"/>
          <w:numId w:val="17"/>
        </w:numPr>
        <w:tabs>
          <w:tab w:val="clear" w:pos="567"/>
          <w:tab w:val="num" w:pos="1134"/>
        </w:tabs>
        <w:spacing w:line="260" w:lineRule="exact"/>
        <w:ind w:left="1134"/>
        <w:rPr>
          <w:sz w:val="22"/>
        </w:rPr>
      </w:pPr>
      <w:r>
        <w:rPr>
          <w:sz w:val="22"/>
        </w:rPr>
        <w:t>Vizeletkiválasztó rendszerben jelentkező haemorrhagia, így a prosztata műtéteket követően vagy a húgyutakat érintő sebészeti beavatkozás kapcsán fellépő vérzés</w:t>
      </w:r>
    </w:p>
    <w:p w14:paraId="0DA6A52E" w14:textId="77777777" w:rsidR="00653FB4" w:rsidRDefault="00F82C95">
      <w:pPr>
        <w:numPr>
          <w:ilvl w:val="0"/>
          <w:numId w:val="17"/>
        </w:numPr>
        <w:spacing w:line="260" w:lineRule="exact"/>
        <w:rPr>
          <w:sz w:val="22"/>
        </w:rPr>
      </w:pPr>
      <w:r>
        <w:rPr>
          <w:sz w:val="22"/>
        </w:rPr>
        <w:t>Fül-orr-gégészeti műtétek (adenoidectomia, tonsillectomia, foghúzás)</w:t>
      </w:r>
    </w:p>
    <w:p w14:paraId="4D1B86CA" w14:textId="77777777" w:rsidR="00653FB4" w:rsidRDefault="00F82C95">
      <w:pPr>
        <w:numPr>
          <w:ilvl w:val="0"/>
          <w:numId w:val="17"/>
        </w:numPr>
        <w:spacing w:line="260" w:lineRule="exact"/>
        <w:rPr>
          <w:sz w:val="22"/>
        </w:rPr>
      </w:pPr>
      <w:r>
        <w:rPr>
          <w:sz w:val="22"/>
        </w:rPr>
        <w:t>Nőgyógyászati műtétek vagy nőgyógyászati rendellenességek</w:t>
      </w:r>
    </w:p>
    <w:p w14:paraId="340ECC40" w14:textId="77777777" w:rsidR="00653FB4" w:rsidRDefault="00F82C95">
      <w:pPr>
        <w:numPr>
          <w:ilvl w:val="0"/>
          <w:numId w:val="17"/>
        </w:numPr>
        <w:spacing w:line="260" w:lineRule="exact"/>
        <w:rPr>
          <w:sz w:val="22"/>
        </w:rPr>
      </w:pPr>
      <w:r>
        <w:rPr>
          <w:sz w:val="22"/>
        </w:rPr>
        <w:t>Mellkasi és hasi műtétek vagy egyéb sebészeti nagy beavatkozások, mint például a cardiovascularis műtétek</w:t>
      </w:r>
    </w:p>
    <w:p w14:paraId="36BE7710" w14:textId="77777777" w:rsidR="00653FB4" w:rsidRDefault="00F82C95">
      <w:pPr>
        <w:numPr>
          <w:ilvl w:val="0"/>
          <w:numId w:val="17"/>
        </w:numPr>
        <w:spacing w:line="260" w:lineRule="exact"/>
        <w:rPr>
          <w:sz w:val="22"/>
        </w:rPr>
      </w:pPr>
      <w:r>
        <w:rPr>
          <w:sz w:val="22"/>
        </w:rPr>
        <w:t>Fibrinolitikus kezelés következtében fellépő vérzés kezelése.</w:t>
      </w:r>
    </w:p>
    <w:p w14:paraId="43EA630D" w14:textId="77777777" w:rsidR="00653FB4" w:rsidRDefault="00653FB4">
      <w:pPr>
        <w:spacing w:line="260" w:lineRule="exact"/>
        <w:rPr>
          <w:sz w:val="22"/>
        </w:rPr>
      </w:pPr>
    </w:p>
    <w:p w14:paraId="11E6B315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4.2</w:t>
      </w:r>
      <w:r>
        <w:rPr>
          <w:b/>
          <w:bCs/>
          <w:sz w:val="22"/>
        </w:rPr>
        <w:tab/>
        <w:t>Adagolás és alkalmazás</w:t>
      </w:r>
    </w:p>
    <w:p w14:paraId="5A70D96F" w14:textId="77777777" w:rsidR="00653FB4" w:rsidRDefault="00653FB4">
      <w:pPr>
        <w:spacing w:line="260" w:lineRule="exact"/>
        <w:rPr>
          <w:i/>
          <w:iCs/>
          <w:sz w:val="22"/>
          <w:u w:val="single"/>
        </w:rPr>
      </w:pPr>
    </w:p>
    <w:p w14:paraId="365268FE" w14:textId="5323D62E" w:rsidR="00653FB4" w:rsidRDefault="00F82C95">
      <w:pPr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Adagolás</w:t>
      </w:r>
    </w:p>
    <w:p w14:paraId="1292A0CF" w14:textId="77777777" w:rsidR="00653FB4" w:rsidRDefault="00653FB4">
      <w:pPr>
        <w:spacing w:line="260" w:lineRule="exact"/>
        <w:rPr>
          <w:i/>
          <w:iCs/>
          <w:sz w:val="22"/>
        </w:rPr>
      </w:pPr>
    </w:p>
    <w:p w14:paraId="1E2FD215" w14:textId="77777777" w:rsidR="00653FB4" w:rsidRDefault="00F82C95">
      <w:pPr>
        <w:spacing w:line="260" w:lineRule="exact"/>
        <w:rPr>
          <w:i/>
          <w:iCs/>
          <w:sz w:val="22"/>
        </w:rPr>
      </w:pPr>
      <w:r>
        <w:rPr>
          <w:i/>
          <w:iCs/>
          <w:sz w:val="22"/>
        </w:rPr>
        <w:t>Felnőttek</w:t>
      </w:r>
    </w:p>
    <w:p w14:paraId="2B9B41E7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Ha az orvos másképpen nem rendeli, az alábbi adagolás javasolt:</w:t>
      </w:r>
    </w:p>
    <w:p w14:paraId="7E3BFF53" w14:textId="49299649" w:rsidR="00653FB4" w:rsidRDefault="00F82C95">
      <w:pPr>
        <w:spacing w:line="260" w:lineRule="exact"/>
        <w:rPr>
          <w:sz w:val="22"/>
        </w:rPr>
      </w:pPr>
      <w:r w:rsidRPr="00184684">
        <w:rPr>
          <w:sz w:val="22"/>
        </w:rPr>
        <w:t>Napi 2</w:t>
      </w:r>
      <w:r w:rsidR="00184684" w:rsidRPr="00B418C4">
        <w:rPr>
          <w:sz w:val="22"/>
        </w:rPr>
        <w:t>–</w:t>
      </w:r>
      <w:r w:rsidRPr="00184684">
        <w:rPr>
          <w:sz w:val="22"/>
        </w:rPr>
        <w:t>4 g (4</w:t>
      </w:r>
      <w:r w:rsidR="00184684" w:rsidRPr="00B418C4">
        <w:rPr>
          <w:sz w:val="22"/>
        </w:rPr>
        <w:t>–</w:t>
      </w:r>
      <w:r w:rsidRPr="00184684">
        <w:rPr>
          <w:sz w:val="22"/>
        </w:rPr>
        <w:t>8 tabletta</w:t>
      </w:r>
      <w:r>
        <w:rPr>
          <w:sz w:val="22"/>
        </w:rPr>
        <w:t>) 2 vagy 3 részre osztva.</w:t>
      </w:r>
    </w:p>
    <w:p w14:paraId="5EBF0D22" w14:textId="77777777" w:rsidR="00653FB4" w:rsidRDefault="00653FB4">
      <w:pPr>
        <w:spacing w:line="260" w:lineRule="exact"/>
        <w:rPr>
          <w:sz w:val="22"/>
        </w:rPr>
      </w:pPr>
    </w:p>
    <w:p w14:paraId="6267C676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Tekintettel arra, hogy a filmtabletta nem felezhető, egyes esetekben a napi dózis 3 részre osztása nem egyenlő adagokkal valósítható meg (</w:t>
      </w:r>
      <w:r w:rsidRPr="00184684">
        <w:rPr>
          <w:sz w:val="22"/>
        </w:rPr>
        <w:t>pl.</w:t>
      </w:r>
      <w:r>
        <w:rPr>
          <w:sz w:val="22"/>
        </w:rPr>
        <w:t xml:space="preserve"> 1-1-2 vagy 3-3-2 tabletta).</w:t>
      </w:r>
    </w:p>
    <w:p w14:paraId="42359966" w14:textId="77777777" w:rsidR="00653FB4" w:rsidRDefault="00653FB4">
      <w:pPr>
        <w:spacing w:line="260" w:lineRule="exact"/>
        <w:rPr>
          <w:sz w:val="22"/>
        </w:rPr>
      </w:pPr>
    </w:p>
    <w:p w14:paraId="1D4AB38D" w14:textId="77777777" w:rsidR="00653FB4" w:rsidRDefault="00F82C95">
      <w:pPr>
        <w:spacing w:line="260" w:lineRule="exact"/>
        <w:rPr>
          <w:i/>
          <w:iCs/>
          <w:sz w:val="22"/>
        </w:rPr>
      </w:pPr>
      <w:r>
        <w:rPr>
          <w:i/>
          <w:iCs/>
          <w:sz w:val="22"/>
        </w:rPr>
        <w:t>Vesekárosodás</w:t>
      </w:r>
    </w:p>
    <w:p w14:paraId="55D6E55D" w14:textId="77777777" w:rsidR="00653FB4" w:rsidRDefault="00F82C95" w:rsidP="00B418C4">
      <w:pPr>
        <w:widowControl/>
        <w:spacing w:line="260" w:lineRule="exact"/>
        <w:rPr>
          <w:sz w:val="22"/>
        </w:rPr>
      </w:pPr>
      <w:r>
        <w:rPr>
          <w:sz w:val="22"/>
        </w:rPr>
        <w:t xml:space="preserve">Súlyos vesekárosodás esetén, az akkumuláció veszélye miatt, a tranexámsav alkalmazása ellenjavallt (lásd 4.3 pont). Enyhe vagy közepesen súlyos vesekárosodásban szenvedő betegek esetén a tranexámsav adagját a szérum kreatininszintnek megfelelően csökkenteni kell. Az adagolás az 500 mg tranexámsavat </w:t>
      </w:r>
      <w:r>
        <w:rPr>
          <w:sz w:val="22"/>
        </w:rPr>
        <w:lastRenderedPageBreak/>
        <w:t>tartalmazó filmtablettával nem valósítható meg. Vesebetegek kezelésére egyéb gyógyszerforma áll rendelkezésre.</w:t>
      </w:r>
    </w:p>
    <w:p w14:paraId="302A0304" w14:textId="77777777" w:rsidR="00653FB4" w:rsidRDefault="00653FB4">
      <w:pPr>
        <w:spacing w:line="260" w:lineRule="exact"/>
        <w:rPr>
          <w:sz w:val="22"/>
        </w:rPr>
      </w:pPr>
    </w:p>
    <w:p w14:paraId="56C28F50" w14:textId="77777777" w:rsidR="00653FB4" w:rsidRDefault="00F82C95">
      <w:pPr>
        <w:spacing w:line="260" w:lineRule="exact"/>
        <w:rPr>
          <w:i/>
          <w:iCs/>
          <w:sz w:val="22"/>
        </w:rPr>
      </w:pPr>
      <w:r>
        <w:rPr>
          <w:i/>
          <w:iCs/>
          <w:sz w:val="22"/>
        </w:rPr>
        <w:t>Májkárosodás</w:t>
      </w:r>
    </w:p>
    <w:p w14:paraId="0100C842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Nem szükséges az adagot módosítani májkárosodás esetén.</w:t>
      </w:r>
    </w:p>
    <w:p w14:paraId="160F3770" w14:textId="77777777" w:rsidR="00653FB4" w:rsidRDefault="00653FB4">
      <w:pPr>
        <w:spacing w:line="260" w:lineRule="exact"/>
        <w:rPr>
          <w:sz w:val="22"/>
        </w:rPr>
      </w:pPr>
    </w:p>
    <w:p w14:paraId="60CE84A6" w14:textId="77777777" w:rsidR="00653FB4" w:rsidRDefault="00F82C95">
      <w:pPr>
        <w:spacing w:line="260" w:lineRule="exact"/>
        <w:rPr>
          <w:i/>
          <w:iCs/>
          <w:sz w:val="22"/>
        </w:rPr>
      </w:pPr>
      <w:r>
        <w:rPr>
          <w:i/>
          <w:iCs/>
          <w:sz w:val="22"/>
        </w:rPr>
        <w:t>Gyermekek és serdülők</w:t>
      </w:r>
    </w:p>
    <w:p w14:paraId="6DC3CC26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Egy évesnél idősebb gyermekek esetében a 4.1 pontban feltüntetett, jelenleg elfogadott javallatokhoz tartozó adagolás 20 mg/kg/nap tartományban javasolt. Ezekben az indikációkban azonban korlátozott adatok állnak rendelkezésre a hatásosságot, adagolást és biztonságosságot illetően.</w:t>
      </w:r>
    </w:p>
    <w:p w14:paraId="0B7BCF5C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Gyermekek (≤ 50 kilogramm) esetében, az 500 mg tranexámsavat tartalmazó filmtablettával a kezelés nem valósítható meg. Gyermekek kezelésére egyéb gyógyszerforma áll rendelkezésre.</w:t>
      </w:r>
    </w:p>
    <w:p w14:paraId="27CEB226" w14:textId="77777777" w:rsidR="00653FB4" w:rsidRDefault="00653FB4">
      <w:pPr>
        <w:spacing w:line="260" w:lineRule="exact"/>
        <w:rPr>
          <w:i/>
          <w:iCs/>
          <w:sz w:val="22"/>
        </w:rPr>
      </w:pPr>
    </w:p>
    <w:p w14:paraId="3F951859" w14:textId="77777777" w:rsidR="00653FB4" w:rsidRDefault="00F82C95">
      <w:pPr>
        <w:spacing w:line="260" w:lineRule="exact"/>
        <w:rPr>
          <w:i/>
          <w:iCs/>
          <w:sz w:val="22"/>
        </w:rPr>
      </w:pPr>
      <w:r>
        <w:rPr>
          <w:i/>
          <w:iCs/>
          <w:sz w:val="22"/>
        </w:rPr>
        <w:t>Idősek</w:t>
      </w:r>
    </w:p>
    <w:p w14:paraId="55D3DF2E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Az adag csökkentése nem szükséges, kivéve bizonyított súlyos vesekárosodás esetén.</w:t>
      </w:r>
    </w:p>
    <w:p w14:paraId="3C25C12D" w14:textId="77777777" w:rsidR="00653FB4" w:rsidRDefault="00653FB4">
      <w:pPr>
        <w:spacing w:line="260" w:lineRule="exact"/>
        <w:rPr>
          <w:b/>
          <w:bCs/>
          <w:sz w:val="22"/>
        </w:rPr>
      </w:pPr>
    </w:p>
    <w:p w14:paraId="0F70B08B" w14:textId="5B77523F" w:rsidR="00653FB4" w:rsidRPr="001409DA" w:rsidRDefault="00F82C95">
      <w:pPr>
        <w:rPr>
          <w:rFonts w:eastAsia="Times New Roman"/>
          <w:color w:val="auto"/>
          <w:sz w:val="22"/>
          <w:szCs w:val="22"/>
          <w:u w:val="single"/>
          <w:lang w:eastAsia="en-US"/>
        </w:rPr>
      </w:pPr>
      <w:r w:rsidRPr="00B418C4">
        <w:rPr>
          <w:rFonts w:eastAsia="Times New Roman"/>
          <w:sz w:val="22"/>
          <w:szCs w:val="22"/>
          <w:u w:val="single"/>
          <w:lang w:eastAsia="en-US"/>
        </w:rPr>
        <w:t>Az alkalmazás módja</w:t>
      </w:r>
    </w:p>
    <w:p w14:paraId="71318C20" w14:textId="59A4AC33" w:rsidR="00653FB4" w:rsidRPr="00B418C4" w:rsidRDefault="00F82C95">
      <w:pPr>
        <w:spacing w:line="260" w:lineRule="exact"/>
        <w:rPr>
          <w:sz w:val="22"/>
        </w:rPr>
      </w:pPr>
      <w:r w:rsidRPr="00B418C4">
        <w:rPr>
          <w:sz w:val="22"/>
        </w:rPr>
        <w:t>Szájon át történő alkalmazás</w:t>
      </w:r>
      <w:r w:rsidR="00FA6D13">
        <w:rPr>
          <w:sz w:val="22"/>
        </w:rPr>
        <w:t>ra.</w:t>
      </w:r>
    </w:p>
    <w:p w14:paraId="14D99A58" w14:textId="77777777" w:rsidR="00653FB4" w:rsidRDefault="00653FB4">
      <w:pPr>
        <w:spacing w:line="260" w:lineRule="exact"/>
        <w:rPr>
          <w:b/>
          <w:bCs/>
          <w:sz w:val="22"/>
        </w:rPr>
      </w:pPr>
    </w:p>
    <w:p w14:paraId="7B02D90A" w14:textId="77777777" w:rsidR="00653FB4" w:rsidRDefault="00F82C95">
      <w:pPr>
        <w:numPr>
          <w:ilvl w:val="1"/>
          <w:numId w:val="10"/>
        </w:num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Ellenjavallatok</w:t>
      </w:r>
    </w:p>
    <w:p w14:paraId="374D41E1" w14:textId="77777777" w:rsidR="00653FB4" w:rsidRDefault="00653FB4">
      <w:pPr>
        <w:spacing w:line="260" w:lineRule="exact"/>
        <w:rPr>
          <w:b/>
          <w:bCs/>
          <w:sz w:val="22"/>
        </w:rPr>
      </w:pPr>
    </w:p>
    <w:p w14:paraId="29E52823" w14:textId="7736E029" w:rsidR="00653FB4" w:rsidRPr="00BB0F1A" w:rsidRDefault="00F82C95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</w:rPr>
        <w:t>A készítmény hatóanyagával vagy a 6.1 pontban felsorolt bármely segédanyagával</w:t>
      </w:r>
      <w:r w:rsidR="004415F2">
        <w:rPr>
          <w:sz w:val="22"/>
        </w:rPr>
        <w:t xml:space="preserve"> </w:t>
      </w:r>
      <w:r w:rsidR="004415F2" w:rsidRPr="00B418C4">
        <w:rPr>
          <w:rFonts w:eastAsia="Times New Roman"/>
          <w:noProof/>
          <w:sz w:val="22"/>
          <w:szCs w:val="22"/>
          <w:lang w:eastAsia="en-US"/>
        </w:rPr>
        <w:t>szembeni túlérzékenység</w:t>
      </w:r>
      <w:r w:rsidRPr="00BB0F1A">
        <w:rPr>
          <w:sz w:val="22"/>
          <w:szCs w:val="22"/>
        </w:rPr>
        <w:t>.</w:t>
      </w:r>
    </w:p>
    <w:p w14:paraId="5741808F" w14:textId="3ADC07A8" w:rsidR="00653FB4" w:rsidRDefault="00F82C95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sz w:val="22"/>
        </w:rPr>
      </w:pPr>
      <w:r>
        <w:rPr>
          <w:sz w:val="22"/>
        </w:rPr>
        <w:t>Akut vénás vagy artériás thrombosis (lásd 4.4 pont)</w:t>
      </w:r>
      <w:r w:rsidR="00FA6D13">
        <w:rPr>
          <w:sz w:val="22"/>
        </w:rPr>
        <w:t>.</w:t>
      </w:r>
    </w:p>
    <w:p w14:paraId="06EDD07C" w14:textId="7CBCB1A1" w:rsidR="00653FB4" w:rsidRDefault="00F82C95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sz w:val="22"/>
        </w:rPr>
      </w:pPr>
      <w:r>
        <w:rPr>
          <w:sz w:val="22"/>
        </w:rPr>
        <w:t>Consumptiós coagulopathia miatti fibrinolitikus állapotok, kivéve azokat az eseteket, amikor a fibrinolitikus rendszer predomináns aktiválása akut, súlyos vérzés miatt következik be (lásd 4.4 pont)</w:t>
      </w:r>
      <w:r w:rsidR="00FA6D13">
        <w:rPr>
          <w:sz w:val="22"/>
        </w:rPr>
        <w:t>.</w:t>
      </w:r>
    </w:p>
    <w:p w14:paraId="6C63D30D" w14:textId="75C8E2BB" w:rsidR="00653FB4" w:rsidRDefault="00F82C95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sz w:val="22"/>
        </w:rPr>
      </w:pPr>
      <w:r>
        <w:rPr>
          <w:sz w:val="22"/>
        </w:rPr>
        <w:t>Súlyos vesekárosodás (akkumuláció veszélye)</w:t>
      </w:r>
      <w:r w:rsidR="00FA6D13">
        <w:rPr>
          <w:sz w:val="22"/>
        </w:rPr>
        <w:t>.</w:t>
      </w:r>
    </w:p>
    <w:p w14:paraId="4CA487CB" w14:textId="7B91EA0E" w:rsidR="00653FB4" w:rsidRDefault="00F82C95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sz w:val="22"/>
        </w:rPr>
      </w:pPr>
      <w:r>
        <w:rPr>
          <w:sz w:val="22"/>
        </w:rPr>
        <w:t>Convulsiók az anamnézisben</w:t>
      </w:r>
      <w:r w:rsidR="00FA6D13">
        <w:rPr>
          <w:sz w:val="22"/>
        </w:rPr>
        <w:t>.</w:t>
      </w:r>
    </w:p>
    <w:p w14:paraId="5EFA4A24" w14:textId="77777777" w:rsidR="00653FB4" w:rsidRDefault="00653FB4">
      <w:pPr>
        <w:spacing w:line="260" w:lineRule="exact"/>
        <w:rPr>
          <w:sz w:val="22"/>
        </w:rPr>
      </w:pPr>
    </w:p>
    <w:p w14:paraId="42FB2749" w14:textId="77777777" w:rsidR="00653FB4" w:rsidRDefault="00F82C95">
      <w:pPr>
        <w:numPr>
          <w:ilvl w:val="1"/>
          <w:numId w:val="10"/>
        </w:num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Különleges figyelmeztetések és az alkalmazással kapcsolatos óvintézkedések</w:t>
      </w:r>
    </w:p>
    <w:p w14:paraId="381EFE0D" w14:textId="77777777" w:rsidR="00653FB4" w:rsidRDefault="00653FB4">
      <w:pPr>
        <w:spacing w:line="260" w:lineRule="exact"/>
        <w:rPr>
          <w:sz w:val="22"/>
        </w:rPr>
      </w:pPr>
    </w:p>
    <w:p w14:paraId="18050D18" w14:textId="77777777" w:rsidR="00653FB4" w:rsidRDefault="00F82C95">
      <w:pPr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Convulsiók</w:t>
      </w:r>
    </w:p>
    <w:p w14:paraId="14D4196E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Görcsrohamokról szóló eseteket jelentettek a tranexámsavval történő kezeléssel összefüggésben. A tranexámsav nem adható azon betegeknek, akiknek az anamnézisében convulsiók szerepelnek.</w:t>
      </w:r>
    </w:p>
    <w:p w14:paraId="27E03DEB" w14:textId="77777777" w:rsidR="00653FB4" w:rsidRDefault="00653FB4">
      <w:pPr>
        <w:spacing w:line="260" w:lineRule="exact"/>
        <w:rPr>
          <w:sz w:val="22"/>
          <w:u w:val="single"/>
        </w:rPr>
      </w:pPr>
    </w:p>
    <w:p w14:paraId="60B4399C" w14:textId="77777777" w:rsidR="00653FB4" w:rsidRDefault="00F82C95">
      <w:pPr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Szemészeti rendellenességek</w:t>
      </w:r>
    </w:p>
    <w:p w14:paraId="7D12FC52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Fokozott figyelmet kell fordítani a szemészeti rendellenességekre, beleértve a látáskárosodást, homályos látást, károsodott színlátást, és amennyiben szükséges a kezelést meg kell szakítani. Tranexámsavval történő folyamatos és hosszú távú kezelés esetén rendszeres szemészeti vizsgálat (a szemvizsgálatokba beleértendő a látóképesség, színlátás, szemfenék és látótérvizsgálat) javasolt. Patológiás szemészeti elváltozás esetén, különösen retinabetegség esetén, a kezelőorvosnak egyedileg, szakorvossal történő konzultációt követően kell döntenie a hosszú távú tranexámsav</w:t>
      </w:r>
      <w:r>
        <w:rPr>
          <w:sz w:val="22"/>
        </w:rPr>
        <w:noBreakHyphen/>
        <w:t>kezelés szükségességéről.</w:t>
      </w:r>
    </w:p>
    <w:p w14:paraId="5C66D025" w14:textId="77777777" w:rsidR="00653FB4" w:rsidRDefault="00653FB4">
      <w:pPr>
        <w:spacing w:line="260" w:lineRule="exact"/>
        <w:rPr>
          <w:sz w:val="22"/>
        </w:rPr>
      </w:pPr>
    </w:p>
    <w:p w14:paraId="6F4C0D1B" w14:textId="77777777" w:rsidR="00653FB4" w:rsidRDefault="00F82C95">
      <w:pPr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Haematuria</w:t>
      </w:r>
    </w:p>
    <w:p w14:paraId="539FB3B4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A húgyutak felső szakaszának vérzése esetén fennáll az urethra elzáródásának veszélye.</w:t>
      </w:r>
    </w:p>
    <w:p w14:paraId="30BDD3A3" w14:textId="77777777" w:rsidR="00653FB4" w:rsidRDefault="00653FB4">
      <w:pPr>
        <w:spacing w:line="260" w:lineRule="exact"/>
        <w:rPr>
          <w:sz w:val="22"/>
          <w:u w:val="single"/>
        </w:rPr>
      </w:pPr>
    </w:p>
    <w:p w14:paraId="7D6CE67C" w14:textId="77777777" w:rsidR="00653FB4" w:rsidRDefault="00F82C95">
      <w:pPr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Thromboemboliás események</w:t>
      </w:r>
    </w:p>
    <w:p w14:paraId="55D30DD2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 xml:space="preserve">A tranexámsav alkalmazása előtt mérlegelni kell a thromboemboliás betegségekkel kapcsolatos kockázati tényezőket. Azon betegek esetén, akiknél korábban thromboemboliás esemény jelentkezett, vagy akiknél a családi anamnézisben fokozott a thromboemboliás események előfordulási valószínűsége (nagy kockázatú thrombophiliás betegek) a tranexámsav alkalmazása csak alapos orvosi indokkal, hematológus szakemberrel történő konzultációt követően és szoros orvosi felügyelet mellett szabad alkalmazni (lásd 4.3 pont). </w:t>
      </w:r>
    </w:p>
    <w:p w14:paraId="1CC604FD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Orális fogamzásgátlót szedő betegek esetében, a fokozott trombózisveszély miatt, a tranexámsavat óvatosan kell alkalmazni (lásd 4.5 pont).</w:t>
      </w:r>
    </w:p>
    <w:p w14:paraId="73BA0D43" w14:textId="77777777" w:rsidR="00653FB4" w:rsidRDefault="00653FB4">
      <w:pPr>
        <w:spacing w:line="260" w:lineRule="exact"/>
        <w:rPr>
          <w:sz w:val="22"/>
        </w:rPr>
      </w:pPr>
    </w:p>
    <w:p w14:paraId="439BBBC0" w14:textId="77777777" w:rsidR="00653FB4" w:rsidRDefault="00F82C95">
      <w:pPr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Disseminált intravascularis coagulatio</w:t>
      </w:r>
    </w:p>
    <w:p w14:paraId="487E8AB1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Disseminált intravascularis coagulatióban (DIC) szenvedő betegek esetén a legtöbb esetben a tranexámsav nem alkalmazható (lásd 4.3 pont). Amennyiben mégis tranexámsav alkalmazására kerül sor, az kizárólag azoknak adható, akiknél a fibrinolitikus rendszer predomináns aktiválása áll fenn, akut, súlyos vérzés következtében. A hematológiai profil jellemzően a következőképpen alakul: csökkent euglobulin rögoldási idő; megnyúlt protrombinidő; csökkent fibrinogén plazmaszintek, V. és VIII. faktor, plazminogén fibrinolizin és alfa</w:t>
      </w:r>
      <w:r>
        <w:rPr>
          <w:sz w:val="22"/>
        </w:rPr>
        <w:noBreakHyphen/>
        <w:t>2</w:t>
      </w:r>
      <w:r>
        <w:rPr>
          <w:sz w:val="22"/>
        </w:rPr>
        <w:noBreakHyphen/>
        <w:t>makroglobulin plazmaszintek; normális P és P</w:t>
      </w:r>
      <w:r>
        <w:rPr>
          <w:sz w:val="22"/>
        </w:rPr>
        <w:noBreakHyphen/>
        <w:t>komplex plazmaszintek (a II faktor [protrombin], VII. és X. faktor), a fibrinogén lebontási termékek emelkedett plazmaszintje, normális vérlemezkeszám. Az előbbiekben leírtak alapján feltételezhető, hogy maga az alapbetegség nem befolyásolja ezen profil különböző elemeit. Fenti akut esetekben a tranexámsav egyszeri 1 g</w:t>
      </w:r>
      <w:r>
        <w:rPr>
          <w:sz w:val="22"/>
        </w:rPr>
        <w:noBreakHyphen/>
        <w:t>os adagja megfelelően kontrollálja a vérzést. DIC esetén a tranexámsav alkalmazása csak abban az esetben lehetséges, ha megfelelő hematológiai laboratóriumi körülmények és szakember áll rendelkezésre.</w:t>
      </w:r>
    </w:p>
    <w:p w14:paraId="399B8F41" w14:textId="77777777" w:rsidR="00653FB4" w:rsidRDefault="00653FB4">
      <w:pPr>
        <w:spacing w:line="260" w:lineRule="exact"/>
        <w:rPr>
          <w:sz w:val="22"/>
        </w:rPr>
      </w:pPr>
    </w:p>
    <w:p w14:paraId="1FD37A1F" w14:textId="033001E8" w:rsidR="00653FB4" w:rsidRPr="001409DA" w:rsidRDefault="00F82C95">
      <w:pPr>
        <w:spacing w:line="260" w:lineRule="exact"/>
        <w:rPr>
          <w:sz w:val="22"/>
          <w:szCs w:val="22"/>
        </w:rPr>
      </w:pPr>
      <w:r w:rsidRPr="00B418C4">
        <w:rPr>
          <w:snapToGrid w:val="0"/>
          <w:sz w:val="22"/>
          <w:szCs w:val="22"/>
          <w:u w:val="single"/>
        </w:rPr>
        <w:t>Ismert hatású segédanyagok</w:t>
      </w:r>
    </w:p>
    <w:p w14:paraId="0F00B202" w14:textId="63C5CD7D" w:rsidR="00653FB4" w:rsidRDefault="00F82C95">
      <w:pPr>
        <w:spacing w:line="260" w:lineRule="exact"/>
        <w:rPr>
          <w:sz w:val="22"/>
        </w:rPr>
      </w:pPr>
      <w:r>
        <w:rPr>
          <w:sz w:val="22"/>
        </w:rPr>
        <w:t>A filmtabletta segédanyagként szacharózt és búzakeményítőt tartalmaz.</w:t>
      </w:r>
    </w:p>
    <w:p w14:paraId="28B9B9CA" w14:textId="77777777" w:rsidR="00653FB4" w:rsidRPr="00B418C4" w:rsidRDefault="00653FB4">
      <w:pPr>
        <w:spacing w:line="260" w:lineRule="exact"/>
        <w:rPr>
          <w:sz w:val="22"/>
        </w:rPr>
      </w:pPr>
    </w:p>
    <w:p w14:paraId="781943A9" w14:textId="77777777" w:rsidR="00653FB4" w:rsidRPr="00B418C4" w:rsidRDefault="00F82C95">
      <w:pPr>
        <w:spacing w:line="260" w:lineRule="exact"/>
        <w:rPr>
          <w:i/>
          <w:iCs/>
          <w:sz w:val="22"/>
        </w:rPr>
      </w:pPr>
      <w:r w:rsidRPr="00B418C4">
        <w:rPr>
          <w:i/>
          <w:iCs/>
          <w:sz w:val="22"/>
        </w:rPr>
        <w:t>Szacharóz</w:t>
      </w:r>
    </w:p>
    <w:p w14:paraId="7C459CF5" w14:textId="6766F8AC" w:rsidR="00653FB4" w:rsidRDefault="00F82C95">
      <w:pPr>
        <w:spacing w:line="260" w:lineRule="exact"/>
        <w:rPr>
          <w:sz w:val="22"/>
        </w:rPr>
      </w:pPr>
      <w:r w:rsidRPr="00B418C4">
        <w:rPr>
          <w:sz w:val="22"/>
        </w:rPr>
        <w:t>Ritkán előforduló, örökletes fruktózintoleranciában, glükóz-galaktóz malabszorpcióban vagy szacharáz</w:t>
      </w:r>
      <w:r w:rsidR="001409DA">
        <w:rPr>
          <w:sz w:val="22"/>
        </w:rPr>
        <w:noBreakHyphen/>
      </w:r>
      <w:r w:rsidRPr="00B418C4">
        <w:rPr>
          <w:sz w:val="22"/>
        </w:rPr>
        <w:t>izomaltáz</w:t>
      </w:r>
      <w:r w:rsidRPr="00B418C4">
        <w:rPr>
          <w:sz w:val="22"/>
        </w:rPr>
        <w:noBreakHyphen/>
        <w:t>hiányban a készítmény nem szedhető.</w:t>
      </w:r>
    </w:p>
    <w:p w14:paraId="15A358DE" w14:textId="77777777" w:rsidR="00653FB4" w:rsidRDefault="00653FB4">
      <w:pPr>
        <w:spacing w:line="260" w:lineRule="exact"/>
        <w:rPr>
          <w:i/>
          <w:iCs/>
          <w:sz w:val="22"/>
        </w:rPr>
      </w:pPr>
    </w:p>
    <w:p w14:paraId="36950BD9" w14:textId="77777777" w:rsidR="00653FB4" w:rsidRPr="00414E7B" w:rsidRDefault="00F82C95">
      <w:pPr>
        <w:spacing w:line="260" w:lineRule="exact"/>
        <w:rPr>
          <w:i/>
          <w:iCs/>
        </w:rPr>
      </w:pPr>
      <w:r w:rsidRPr="00B418C4">
        <w:rPr>
          <w:i/>
          <w:iCs/>
          <w:sz w:val="22"/>
        </w:rPr>
        <w:t>Búzakeményítő (gluténtartalmú)</w:t>
      </w:r>
    </w:p>
    <w:p w14:paraId="0EF45D73" w14:textId="7A5C4E32" w:rsidR="00653FB4" w:rsidRDefault="00BC32EF">
      <w:pPr>
        <w:rPr>
          <w:sz w:val="22"/>
        </w:rPr>
      </w:pPr>
      <w:r>
        <w:rPr>
          <w:sz w:val="22"/>
        </w:rPr>
        <w:t>Ez a gyógyszer csak nagyon kis mennyiségű glutént tartalmaz (búzakeményítőben). „Gluténmentesnek” tekinthető, és nem valószínű, hogy problémákat okozhat a cöliákiának nevezett betegségben szenvedő betegek esetében.</w:t>
      </w:r>
    </w:p>
    <w:p w14:paraId="2D293D21" w14:textId="57A3B676" w:rsidR="00BC32EF" w:rsidRDefault="00F82C95">
      <w:pPr>
        <w:spacing w:line="260" w:lineRule="exact"/>
        <w:rPr>
          <w:sz w:val="22"/>
        </w:rPr>
      </w:pPr>
      <w:r>
        <w:rPr>
          <w:sz w:val="22"/>
        </w:rPr>
        <w:t xml:space="preserve">Egy </w:t>
      </w:r>
      <w:r w:rsidR="005649DF">
        <w:rPr>
          <w:sz w:val="22"/>
        </w:rPr>
        <w:t>Exacyl</w:t>
      </w:r>
      <w:r w:rsidR="00BC32EF">
        <w:rPr>
          <w:sz w:val="22"/>
        </w:rPr>
        <w:t xml:space="preserve"> film</w:t>
      </w:r>
      <w:r>
        <w:rPr>
          <w:sz w:val="22"/>
        </w:rPr>
        <w:t>tabletta legfeljebb 9,7</w:t>
      </w:r>
      <w:r w:rsidR="005649DF">
        <w:rPr>
          <w:sz w:val="22"/>
        </w:rPr>
        <w:t> </w:t>
      </w:r>
      <w:r>
        <w:rPr>
          <w:sz w:val="22"/>
        </w:rPr>
        <w:t>mikrogramm glutént tartalmaz.</w:t>
      </w:r>
    </w:p>
    <w:p w14:paraId="4FB1C18B" w14:textId="1BE60D58" w:rsidR="00653FB4" w:rsidRPr="00B418C4" w:rsidRDefault="00F82C95">
      <w:pPr>
        <w:spacing w:line="260" w:lineRule="exact"/>
        <w:rPr>
          <w:sz w:val="22"/>
        </w:rPr>
      </w:pPr>
      <w:r>
        <w:rPr>
          <w:sz w:val="22"/>
        </w:rPr>
        <w:t xml:space="preserve">Ha </w:t>
      </w:r>
      <w:r w:rsidR="00BC32EF">
        <w:rPr>
          <w:sz w:val="22"/>
        </w:rPr>
        <w:t xml:space="preserve">a beteg </w:t>
      </w:r>
      <w:r>
        <w:rPr>
          <w:sz w:val="22"/>
        </w:rPr>
        <w:t>búzaallergiában szenved, ami nem azonos a cöliákiával, nem szedheti ezt a gyógyszert.</w:t>
      </w:r>
    </w:p>
    <w:p w14:paraId="45007F5A" w14:textId="77777777" w:rsidR="00653FB4" w:rsidRDefault="00653FB4">
      <w:pPr>
        <w:spacing w:line="260" w:lineRule="exact"/>
        <w:rPr>
          <w:i/>
          <w:iCs/>
          <w:sz w:val="22"/>
        </w:rPr>
      </w:pPr>
    </w:p>
    <w:p w14:paraId="3F227617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4.5</w:t>
      </w:r>
      <w:r>
        <w:rPr>
          <w:b/>
          <w:bCs/>
          <w:sz w:val="22"/>
        </w:rPr>
        <w:tab/>
        <w:t>Gyógyszerkölcsönhatások és egyéb interakciók</w:t>
      </w:r>
    </w:p>
    <w:p w14:paraId="28191464" w14:textId="77777777" w:rsidR="00653FB4" w:rsidRDefault="00653FB4">
      <w:pPr>
        <w:spacing w:line="260" w:lineRule="exact"/>
        <w:rPr>
          <w:sz w:val="22"/>
        </w:rPr>
      </w:pPr>
    </w:p>
    <w:p w14:paraId="65301778" w14:textId="77777777" w:rsidR="00653FB4" w:rsidRDefault="00F82C95">
      <w:pPr>
        <w:spacing w:line="260" w:lineRule="exact"/>
        <w:rPr>
          <w:sz w:val="22"/>
        </w:rPr>
      </w:pPr>
      <w:r>
        <w:rPr>
          <w:rFonts w:eastAsia="Times New Roman"/>
          <w:sz w:val="22"/>
          <w:lang w:eastAsia="en-US"/>
        </w:rPr>
        <w:t xml:space="preserve">Interakciós vizsgálatokat nem végeztek. </w:t>
      </w:r>
      <w:r>
        <w:rPr>
          <w:sz w:val="22"/>
        </w:rPr>
        <w:t>Antikoagulánsokkal történő egyidejű kezelés csak a szakterületen jártas orvos szigorú felügyelete mellett történhet. A hemosztázisra ható gyógyszereket óvatosan kell alkalmazni tranexámsavval kezelt betegek esetén. Ösztrogén-kezelés esetén elméletileg fennáll a rögképződés veszélye. A gyógyszer antifibrinolitikus hatását trombolitikummal antagonizálhatjuk.</w:t>
      </w:r>
    </w:p>
    <w:p w14:paraId="010139F4" w14:textId="77777777" w:rsidR="00653FB4" w:rsidRDefault="00653FB4">
      <w:pPr>
        <w:spacing w:line="260" w:lineRule="exact"/>
        <w:rPr>
          <w:sz w:val="22"/>
        </w:rPr>
      </w:pPr>
    </w:p>
    <w:p w14:paraId="2718F393" w14:textId="77777777" w:rsidR="00653FB4" w:rsidRDefault="00F82C95">
      <w:pPr>
        <w:spacing w:line="260" w:lineRule="exact"/>
        <w:ind w:left="-15"/>
        <w:rPr>
          <w:b/>
          <w:bCs/>
          <w:sz w:val="22"/>
        </w:rPr>
      </w:pPr>
      <w:r>
        <w:rPr>
          <w:b/>
          <w:bCs/>
          <w:sz w:val="22"/>
        </w:rPr>
        <w:t>4.6</w:t>
      </w:r>
      <w:r>
        <w:rPr>
          <w:b/>
          <w:bCs/>
          <w:sz w:val="22"/>
        </w:rPr>
        <w:tab/>
        <w:t>Termékenység, terhesség és szoptatás</w:t>
      </w:r>
    </w:p>
    <w:p w14:paraId="03450F25" w14:textId="77777777" w:rsidR="00653FB4" w:rsidRDefault="00653FB4">
      <w:pPr>
        <w:spacing w:line="260" w:lineRule="exact"/>
        <w:ind w:left="-15"/>
        <w:rPr>
          <w:i/>
          <w:iCs/>
          <w:sz w:val="22"/>
        </w:rPr>
      </w:pPr>
    </w:p>
    <w:p w14:paraId="0B62BB06" w14:textId="77777777" w:rsidR="00653FB4" w:rsidRDefault="00F82C95">
      <w:pPr>
        <w:spacing w:line="260" w:lineRule="exact"/>
        <w:ind w:left="-15"/>
        <w:rPr>
          <w:sz w:val="22"/>
        </w:rPr>
      </w:pPr>
      <w:r>
        <w:rPr>
          <w:sz w:val="22"/>
        </w:rPr>
        <w:t>Fogamzóképes nőknek megfelelően hatékony fogamzásgátló módszert kell alkalmazniuk a kezelés ideje alatt.</w:t>
      </w:r>
    </w:p>
    <w:p w14:paraId="65AD9655" w14:textId="77777777" w:rsidR="00653FB4" w:rsidRDefault="00653FB4">
      <w:pPr>
        <w:spacing w:line="260" w:lineRule="exact"/>
        <w:ind w:left="-15"/>
        <w:rPr>
          <w:sz w:val="22"/>
        </w:rPr>
      </w:pPr>
    </w:p>
    <w:p w14:paraId="4F6D1618" w14:textId="77777777" w:rsidR="00653FB4" w:rsidRDefault="00F82C95">
      <w:pPr>
        <w:spacing w:line="260" w:lineRule="exact"/>
        <w:ind w:left="-15"/>
        <w:rPr>
          <w:sz w:val="22"/>
          <w:u w:val="single"/>
        </w:rPr>
      </w:pPr>
      <w:r>
        <w:rPr>
          <w:sz w:val="22"/>
          <w:u w:val="single"/>
        </w:rPr>
        <w:t>Terhesség</w:t>
      </w:r>
    </w:p>
    <w:p w14:paraId="26F57A27" w14:textId="77777777" w:rsidR="00653FB4" w:rsidRPr="00B418C4" w:rsidRDefault="00F82C95">
      <w:pPr>
        <w:spacing w:line="260" w:lineRule="exact"/>
        <w:rPr>
          <w:sz w:val="22"/>
        </w:rPr>
      </w:pPr>
      <w:r>
        <w:rPr>
          <w:sz w:val="22"/>
        </w:rPr>
        <w:t>A tranexámsav terhes nőknél történő alkalmazására vonatkozóan korlátozott mennyiségű információ áll rendelkezésre. Ennek megfelelően, bár állatkísérletek alapján teratogén hatása nincs, elővigyázatosságból az első trimeszterben a tranexámsav alkalmazása nem javasolt. Különböző haemorrhagiás állapotokban, a második és harmadik trimeszterben alkalmazott tranexámsavról rendelkezésre álló korlátozott klinikai tapasztalatok a magzat kilökődésére utaló hatást nem igazoltak. A tranexámsav alkalmazása az egész terhesség során csak abban az esetben javasolt, ha a várható előny felülmúlja a lehetséges kockázatot.</w:t>
      </w:r>
    </w:p>
    <w:p w14:paraId="325BDF12" w14:textId="77777777" w:rsidR="00653FB4" w:rsidRDefault="00653FB4">
      <w:pPr>
        <w:spacing w:line="260" w:lineRule="exact"/>
        <w:rPr>
          <w:i/>
          <w:iCs/>
          <w:sz w:val="22"/>
        </w:rPr>
      </w:pPr>
    </w:p>
    <w:p w14:paraId="09897229" w14:textId="77777777" w:rsidR="00653FB4" w:rsidRDefault="00F82C95">
      <w:pPr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Szoptatás</w:t>
      </w:r>
    </w:p>
    <w:p w14:paraId="78ED4058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A tranexámsav megjelenik az anyatejben; ezért a szoptatás nem ajánlott.</w:t>
      </w:r>
    </w:p>
    <w:p w14:paraId="40CA6BAD" w14:textId="77777777" w:rsidR="00653FB4" w:rsidRDefault="00653FB4">
      <w:pPr>
        <w:spacing w:line="260" w:lineRule="exact"/>
        <w:rPr>
          <w:sz w:val="22"/>
        </w:rPr>
      </w:pPr>
    </w:p>
    <w:p w14:paraId="3091A17E" w14:textId="77777777" w:rsidR="00653FB4" w:rsidRDefault="00F82C95">
      <w:pPr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Termékenység</w:t>
      </w:r>
    </w:p>
    <w:p w14:paraId="5DED29DA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Nem állnak rendelkezésre klinikai adatok a tranexámsav termékenységre gyakorolt hatásairól.</w:t>
      </w:r>
    </w:p>
    <w:p w14:paraId="6E6B6A2F" w14:textId="77777777" w:rsidR="00653FB4" w:rsidRDefault="00653FB4">
      <w:pPr>
        <w:spacing w:line="260" w:lineRule="exact"/>
        <w:rPr>
          <w:sz w:val="22"/>
        </w:rPr>
      </w:pPr>
    </w:p>
    <w:p w14:paraId="29D56CAF" w14:textId="77777777" w:rsidR="00653FB4" w:rsidRDefault="00F82C95">
      <w:pPr>
        <w:keepNext/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4.7</w:t>
      </w:r>
      <w:r>
        <w:rPr>
          <w:b/>
          <w:bCs/>
          <w:sz w:val="22"/>
        </w:rPr>
        <w:tab/>
        <w:t>A készítmény hatásai a gépjárművezetéshez és a gépek kezeléséhez szükséges képességekre</w:t>
      </w:r>
    </w:p>
    <w:p w14:paraId="7BB746B8" w14:textId="77777777" w:rsidR="00653FB4" w:rsidRDefault="00653FB4">
      <w:pPr>
        <w:keepNext/>
        <w:spacing w:line="260" w:lineRule="exact"/>
        <w:rPr>
          <w:sz w:val="22"/>
        </w:rPr>
      </w:pPr>
    </w:p>
    <w:p w14:paraId="4120F62F" w14:textId="77777777" w:rsidR="00653FB4" w:rsidRDefault="00F82C95">
      <w:pPr>
        <w:keepNext/>
        <w:spacing w:line="260" w:lineRule="exact"/>
        <w:rPr>
          <w:sz w:val="22"/>
        </w:rPr>
      </w:pPr>
      <w:r>
        <w:rPr>
          <w:sz w:val="22"/>
        </w:rPr>
        <w:t>Nem vizsgálták a gépjárművezetéshez és a gépek kezeléséhez szükséges képességekre gyakorolt hatását.</w:t>
      </w:r>
    </w:p>
    <w:p w14:paraId="28912DC9" w14:textId="77777777" w:rsidR="00653FB4" w:rsidRDefault="00653FB4">
      <w:pPr>
        <w:spacing w:line="260" w:lineRule="exact"/>
        <w:rPr>
          <w:sz w:val="22"/>
        </w:rPr>
      </w:pPr>
    </w:p>
    <w:p w14:paraId="64964126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4.8</w:t>
      </w:r>
      <w:r>
        <w:rPr>
          <w:b/>
          <w:bCs/>
          <w:sz w:val="22"/>
        </w:rPr>
        <w:tab/>
        <w:t>Nemkívánatos hatások, mellékhatások</w:t>
      </w:r>
    </w:p>
    <w:p w14:paraId="734E336E" w14:textId="77777777" w:rsidR="00653FB4" w:rsidRDefault="00653FB4">
      <w:pPr>
        <w:spacing w:line="260" w:lineRule="exact"/>
        <w:rPr>
          <w:sz w:val="22"/>
        </w:rPr>
      </w:pPr>
    </w:p>
    <w:p w14:paraId="1A1800FE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A klinikai vizsgálatokból és a forgalomba hozatalt követően szerzett tapasztalatokat szervrendszerek szerinti csoportosításban az alábbiakban soroljuk fel.</w:t>
      </w:r>
    </w:p>
    <w:p w14:paraId="25EAD7AF" w14:textId="77777777" w:rsidR="00653FB4" w:rsidRDefault="00653FB4">
      <w:pPr>
        <w:spacing w:line="260" w:lineRule="exact"/>
        <w:rPr>
          <w:sz w:val="22"/>
          <w:u w:val="single"/>
        </w:rPr>
      </w:pPr>
    </w:p>
    <w:p w14:paraId="3D610C06" w14:textId="77777777" w:rsidR="00653FB4" w:rsidRDefault="00F82C95">
      <w:pPr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A mellékhatások táblázatos felsorolása</w:t>
      </w:r>
    </w:p>
    <w:p w14:paraId="4F17058A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A jelentett nemkívánatos hatásokat az alábbi táblázatban tüntettük fel. A nemkívánatos hatásokat a MedDRA szerinti szervrendszeri csoportosításban soroljuk fel. Minden egyes szervrendszeren belül a nemkívánatos hatásokat előfordulási gyakoriságuk szerint tüntettük fel. Az egyes gyakorisági kategóriákon belül a mellékhatások csökkenő súlyosság szerint kerülnek megadásra.</w:t>
      </w:r>
    </w:p>
    <w:p w14:paraId="413C6449" w14:textId="4A6E64A0" w:rsidR="00653FB4" w:rsidRDefault="00F82C95">
      <w:pPr>
        <w:spacing w:line="260" w:lineRule="exact"/>
        <w:rPr>
          <w:sz w:val="22"/>
        </w:rPr>
      </w:pPr>
      <w:r>
        <w:rPr>
          <w:sz w:val="22"/>
        </w:rPr>
        <w:t>Az előfordulási gyakoriságok értelmezése: nagyon gyakori (</w:t>
      </w:r>
      <w:r w:rsidRPr="00B418C4">
        <w:rPr>
          <w:sz w:val="22"/>
        </w:rPr>
        <w:t>≥ </w:t>
      </w:r>
      <w:r>
        <w:rPr>
          <w:sz w:val="22"/>
        </w:rPr>
        <w:t>1/10), gyakori (</w:t>
      </w:r>
      <w:r w:rsidRPr="00B418C4">
        <w:rPr>
          <w:sz w:val="22"/>
        </w:rPr>
        <w:t>≥ </w:t>
      </w:r>
      <w:r>
        <w:rPr>
          <w:sz w:val="22"/>
        </w:rPr>
        <w:t xml:space="preserve">1/100 </w:t>
      </w:r>
      <w:r w:rsidR="00937575" w:rsidRPr="00937575">
        <w:rPr>
          <w:sz w:val="22"/>
        </w:rPr>
        <w:t>–</w:t>
      </w:r>
      <w:r>
        <w:rPr>
          <w:sz w:val="22"/>
        </w:rPr>
        <w:t xml:space="preserve"> &lt; 1/10), nem gyakori (</w:t>
      </w:r>
      <w:r w:rsidRPr="00B418C4">
        <w:rPr>
          <w:sz w:val="22"/>
        </w:rPr>
        <w:t>≥ </w:t>
      </w:r>
      <w:r>
        <w:rPr>
          <w:sz w:val="22"/>
        </w:rPr>
        <w:t xml:space="preserve">1/1000 </w:t>
      </w:r>
      <w:r w:rsidR="00937575">
        <w:rPr>
          <w:sz w:val="22"/>
        </w:rPr>
        <w:t>–</w:t>
      </w:r>
      <w:r>
        <w:rPr>
          <w:sz w:val="22"/>
        </w:rPr>
        <w:t xml:space="preserve"> &lt;/100), ritka (</w:t>
      </w:r>
      <w:r w:rsidRPr="00B418C4">
        <w:rPr>
          <w:sz w:val="22"/>
        </w:rPr>
        <w:t>≥ </w:t>
      </w:r>
      <w:r>
        <w:rPr>
          <w:sz w:val="22"/>
        </w:rPr>
        <w:t xml:space="preserve">1/10 000 </w:t>
      </w:r>
      <w:r w:rsidR="00937575">
        <w:rPr>
          <w:sz w:val="22"/>
        </w:rPr>
        <w:t>–</w:t>
      </w:r>
      <w:r>
        <w:rPr>
          <w:sz w:val="22"/>
        </w:rPr>
        <w:t xml:space="preserve"> &lt; 1/1000), nagyon ritka (</w:t>
      </w:r>
      <w:r w:rsidRPr="00B418C4">
        <w:rPr>
          <w:sz w:val="22"/>
        </w:rPr>
        <w:sym w:font="Symbol" w:char="F0A3"/>
      </w:r>
      <w:r w:rsidRPr="00B418C4">
        <w:rPr>
          <w:sz w:val="22"/>
        </w:rPr>
        <w:t> </w:t>
      </w:r>
      <w:r>
        <w:rPr>
          <w:sz w:val="22"/>
        </w:rPr>
        <w:t xml:space="preserve">1/10 000), nem ismert (a </w:t>
      </w:r>
      <w:r w:rsidR="00FF1E1C">
        <w:rPr>
          <w:sz w:val="22"/>
        </w:rPr>
        <w:t xml:space="preserve">gyakoriság a </w:t>
      </w:r>
      <w:r>
        <w:rPr>
          <w:sz w:val="22"/>
        </w:rPr>
        <w:t>rendelkezésre álló adatokból nem állapítható meg).</w:t>
      </w:r>
    </w:p>
    <w:p w14:paraId="44E0269A" w14:textId="77777777" w:rsidR="00653FB4" w:rsidRDefault="00653FB4">
      <w:pPr>
        <w:spacing w:line="260" w:lineRule="exact"/>
        <w:rPr>
          <w:sz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1417"/>
        <w:gridCol w:w="4820"/>
      </w:tblGrid>
      <w:tr w:rsidR="00653FB4" w14:paraId="7A20A665" w14:textId="77777777">
        <w:tc>
          <w:tcPr>
            <w:tcW w:w="3227" w:type="dxa"/>
          </w:tcPr>
          <w:p w14:paraId="6635B2DE" w14:textId="77777777" w:rsidR="00653FB4" w:rsidRDefault="00F82C95">
            <w:pPr>
              <w:spacing w:line="260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sz w:val="22"/>
              </w:rPr>
              <w:t>MedDRA szerinti Szervrendszer</w:t>
            </w:r>
          </w:p>
        </w:tc>
        <w:tc>
          <w:tcPr>
            <w:tcW w:w="1417" w:type="dxa"/>
          </w:tcPr>
          <w:p w14:paraId="351BCF15" w14:textId="77777777" w:rsidR="00653FB4" w:rsidRDefault="00F82C95">
            <w:pPr>
              <w:spacing w:line="260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sz w:val="22"/>
              </w:rPr>
              <w:t>Gyakoriság</w:t>
            </w:r>
          </w:p>
        </w:tc>
        <w:tc>
          <w:tcPr>
            <w:tcW w:w="4820" w:type="dxa"/>
          </w:tcPr>
          <w:p w14:paraId="06E429B5" w14:textId="77777777" w:rsidR="00653FB4" w:rsidRDefault="00F82C95">
            <w:pPr>
              <w:spacing w:line="260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sz w:val="22"/>
              </w:rPr>
              <w:t>Nemkívánatos hatás</w:t>
            </w:r>
          </w:p>
        </w:tc>
      </w:tr>
      <w:tr w:rsidR="00653FB4" w14:paraId="02823A0D" w14:textId="77777777">
        <w:tc>
          <w:tcPr>
            <w:tcW w:w="3227" w:type="dxa"/>
          </w:tcPr>
          <w:p w14:paraId="519C5FE2" w14:textId="77777777" w:rsidR="00653FB4" w:rsidRDefault="00F82C95">
            <w:pPr>
              <w:spacing w:line="260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sz w:val="22"/>
              </w:rPr>
              <w:t>Immunrendszeri betegségek és tünetek</w:t>
            </w:r>
          </w:p>
        </w:tc>
        <w:tc>
          <w:tcPr>
            <w:tcW w:w="1417" w:type="dxa"/>
          </w:tcPr>
          <w:p w14:paraId="77175038" w14:textId="77777777" w:rsidR="00653FB4" w:rsidRDefault="00F82C95">
            <w:pPr>
              <w:spacing w:line="260" w:lineRule="exact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Nem ismert</w:t>
            </w:r>
          </w:p>
        </w:tc>
        <w:tc>
          <w:tcPr>
            <w:tcW w:w="4820" w:type="dxa"/>
          </w:tcPr>
          <w:p w14:paraId="546D5C7E" w14:textId="77777777" w:rsidR="00653FB4" w:rsidRDefault="00F82C95">
            <w:pPr>
              <w:numPr>
                <w:ilvl w:val="0"/>
                <w:numId w:val="14"/>
              </w:numPr>
              <w:spacing w:line="260" w:lineRule="exact"/>
              <w:ind w:left="357" w:hanging="357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Túlérzékenységi reakciók, akár anaphylaxia is</w:t>
            </w:r>
          </w:p>
        </w:tc>
      </w:tr>
      <w:tr w:rsidR="00653FB4" w14:paraId="66A83E04" w14:textId="77777777">
        <w:tc>
          <w:tcPr>
            <w:tcW w:w="3227" w:type="dxa"/>
          </w:tcPr>
          <w:p w14:paraId="58F9A3E4" w14:textId="77777777" w:rsidR="00653FB4" w:rsidRDefault="00F82C95">
            <w:pPr>
              <w:spacing w:line="260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sz w:val="22"/>
              </w:rPr>
              <w:t>Idegrendszeri betegségek és tünetek</w:t>
            </w:r>
          </w:p>
        </w:tc>
        <w:tc>
          <w:tcPr>
            <w:tcW w:w="1417" w:type="dxa"/>
          </w:tcPr>
          <w:p w14:paraId="7C11513F" w14:textId="77777777" w:rsidR="00653FB4" w:rsidRDefault="00F82C95">
            <w:pPr>
              <w:spacing w:line="260" w:lineRule="exact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Nem ismert</w:t>
            </w:r>
          </w:p>
        </w:tc>
        <w:tc>
          <w:tcPr>
            <w:tcW w:w="4820" w:type="dxa"/>
          </w:tcPr>
          <w:p w14:paraId="3F66D28D" w14:textId="08172545" w:rsidR="00653FB4" w:rsidRDefault="00F82C95">
            <w:pPr>
              <w:numPr>
                <w:ilvl w:val="0"/>
                <w:numId w:val="14"/>
              </w:numPr>
              <w:spacing w:line="260" w:lineRule="exact"/>
              <w:ind w:left="357" w:hanging="357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Convulsiók, főleg helytelen alkalmazás következtében (lásd még</w:t>
            </w:r>
            <w:r w:rsidR="0078242D">
              <w:rPr>
                <w:rFonts w:eastAsia="Times New Roman"/>
                <w:sz w:val="22"/>
              </w:rPr>
              <w:t xml:space="preserve"> a</w:t>
            </w:r>
            <w:r>
              <w:rPr>
                <w:rFonts w:eastAsia="Times New Roman"/>
                <w:sz w:val="22"/>
              </w:rPr>
              <w:t xml:space="preserve"> 4.3 és 4.4 pontot)</w:t>
            </w:r>
          </w:p>
        </w:tc>
      </w:tr>
      <w:tr w:rsidR="00653FB4" w14:paraId="5E6F0C13" w14:textId="77777777">
        <w:tc>
          <w:tcPr>
            <w:tcW w:w="3227" w:type="dxa"/>
          </w:tcPr>
          <w:p w14:paraId="5F6014A4" w14:textId="77777777" w:rsidR="00653FB4" w:rsidRDefault="00F82C95">
            <w:pPr>
              <w:spacing w:line="260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sz w:val="22"/>
              </w:rPr>
              <w:t>Szembetegségek és szemészeti tünetek</w:t>
            </w:r>
          </w:p>
        </w:tc>
        <w:tc>
          <w:tcPr>
            <w:tcW w:w="1417" w:type="dxa"/>
          </w:tcPr>
          <w:p w14:paraId="0404B4B8" w14:textId="77777777" w:rsidR="00653FB4" w:rsidRDefault="00F82C95">
            <w:pPr>
              <w:spacing w:line="260" w:lineRule="exact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Nem ismert</w:t>
            </w:r>
          </w:p>
        </w:tc>
        <w:tc>
          <w:tcPr>
            <w:tcW w:w="4820" w:type="dxa"/>
          </w:tcPr>
          <w:p w14:paraId="4395A1DA" w14:textId="77777777" w:rsidR="00653FB4" w:rsidRDefault="00F82C95">
            <w:pPr>
              <w:numPr>
                <w:ilvl w:val="0"/>
                <w:numId w:val="14"/>
              </w:numPr>
              <w:spacing w:line="260" w:lineRule="exact"/>
              <w:ind w:left="357" w:hanging="357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Szemészeti rendellenességek, beleértve a színlátás romlását</w:t>
            </w:r>
          </w:p>
        </w:tc>
      </w:tr>
      <w:tr w:rsidR="00653FB4" w14:paraId="604478CC" w14:textId="77777777">
        <w:tc>
          <w:tcPr>
            <w:tcW w:w="3227" w:type="dxa"/>
          </w:tcPr>
          <w:p w14:paraId="652F139C" w14:textId="77777777" w:rsidR="00653FB4" w:rsidRDefault="00F82C95">
            <w:pPr>
              <w:spacing w:line="260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sz w:val="22"/>
              </w:rPr>
              <w:t>Érbetegségek és tünetek</w:t>
            </w:r>
          </w:p>
        </w:tc>
        <w:tc>
          <w:tcPr>
            <w:tcW w:w="1417" w:type="dxa"/>
          </w:tcPr>
          <w:p w14:paraId="5A10384A" w14:textId="77777777" w:rsidR="00653FB4" w:rsidRDefault="00F82C95">
            <w:pPr>
              <w:spacing w:line="260" w:lineRule="exact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Nem ismert</w:t>
            </w:r>
          </w:p>
        </w:tc>
        <w:tc>
          <w:tcPr>
            <w:tcW w:w="4820" w:type="dxa"/>
          </w:tcPr>
          <w:p w14:paraId="3B4C48F2" w14:textId="77777777" w:rsidR="00653FB4" w:rsidRDefault="00F82C95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  <w:tab w:val="num" w:pos="360"/>
              </w:tabs>
              <w:spacing w:line="260" w:lineRule="exact"/>
              <w:ind w:left="357" w:hanging="357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 xml:space="preserve">Gyengeség, hypotensio eszméletvesztéssel (különösen, ha az intravénás injekciót túl gyorsan adják; </w:t>
            </w:r>
            <w:r>
              <w:rPr>
                <w:rFonts w:eastAsia="Times New Roman"/>
                <w:i/>
                <w:iCs/>
                <w:sz w:val="22"/>
              </w:rPr>
              <w:t>per os</w:t>
            </w:r>
            <w:r>
              <w:rPr>
                <w:rFonts w:eastAsia="Times New Roman"/>
                <w:sz w:val="22"/>
              </w:rPr>
              <w:t xml:space="preserve"> alkalmazás után csak kivételesen jelentkezik), vagy anélkül előfordulhat.</w:t>
            </w:r>
          </w:p>
          <w:p w14:paraId="7897527D" w14:textId="77777777" w:rsidR="00653FB4" w:rsidRDefault="00F82C95">
            <w:pPr>
              <w:numPr>
                <w:ilvl w:val="0"/>
                <w:numId w:val="14"/>
              </w:numPr>
              <w:spacing w:line="260" w:lineRule="exact"/>
              <w:ind w:left="357" w:hanging="357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Artériás vagy vénás thrombosis bárhol</w:t>
            </w:r>
          </w:p>
        </w:tc>
      </w:tr>
      <w:tr w:rsidR="00653FB4" w14:paraId="0EC84A2B" w14:textId="77777777">
        <w:tc>
          <w:tcPr>
            <w:tcW w:w="3227" w:type="dxa"/>
          </w:tcPr>
          <w:p w14:paraId="3DDB1FD2" w14:textId="77777777" w:rsidR="00653FB4" w:rsidRDefault="00F82C95">
            <w:pPr>
              <w:spacing w:line="260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sz w:val="22"/>
              </w:rPr>
              <w:t>Emésztőrendszeri betegségek és tünetek</w:t>
            </w:r>
          </w:p>
        </w:tc>
        <w:tc>
          <w:tcPr>
            <w:tcW w:w="1417" w:type="dxa"/>
          </w:tcPr>
          <w:p w14:paraId="1A60A2D8" w14:textId="77777777" w:rsidR="00653FB4" w:rsidRDefault="00F82C95">
            <w:pPr>
              <w:spacing w:line="260" w:lineRule="exact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Gyakori</w:t>
            </w:r>
          </w:p>
        </w:tc>
        <w:tc>
          <w:tcPr>
            <w:tcW w:w="4820" w:type="dxa"/>
          </w:tcPr>
          <w:p w14:paraId="0853ECFF" w14:textId="77777777" w:rsidR="00653FB4" w:rsidRDefault="00F82C95">
            <w:pPr>
              <w:numPr>
                <w:ilvl w:val="0"/>
                <w:numId w:val="14"/>
              </w:numPr>
              <w:spacing w:line="260" w:lineRule="exact"/>
              <w:ind w:left="357" w:hanging="357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Hasmenés</w:t>
            </w:r>
          </w:p>
          <w:p w14:paraId="16B7B2C7" w14:textId="77777777" w:rsidR="00653FB4" w:rsidRDefault="00F82C95">
            <w:pPr>
              <w:numPr>
                <w:ilvl w:val="0"/>
                <w:numId w:val="14"/>
              </w:numPr>
              <w:spacing w:line="260" w:lineRule="exact"/>
              <w:ind w:left="357" w:hanging="357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Hányás</w:t>
            </w:r>
          </w:p>
          <w:p w14:paraId="2052425A" w14:textId="77777777" w:rsidR="00653FB4" w:rsidRDefault="00F82C95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  <w:tab w:val="num" w:pos="360"/>
              </w:tabs>
              <w:spacing w:line="260" w:lineRule="exact"/>
              <w:ind w:left="357" w:hanging="357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Hányinger</w:t>
            </w:r>
          </w:p>
        </w:tc>
      </w:tr>
      <w:tr w:rsidR="00653FB4" w14:paraId="447DAB41" w14:textId="77777777">
        <w:tc>
          <w:tcPr>
            <w:tcW w:w="3227" w:type="dxa"/>
            <w:vMerge w:val="restart"/>
          </w:tcPr>
          <w:p w14:paraId="34D2146F" w14:textId="20EEE990" w:rsidR="00653FB4" w:rsidRDefault="00F82C95">
            <w:pPr>
              <w:spacing w:line="260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sz w:val="22"/>
              </w:rPr>
              <w:t>A bőr és a bőr</w:t>
            </w:r>
            <w:r w:rsidR="000F5A94">
              <w:rPr>
                <w:rFonts w:eastAsia="Times New Roman"/>
                <w:b/>
                <w:bCs/>
                <w:sz w:val="22"/>
              </w:rPr>
              <w:t xml:space="preserve"> </w:t>
            </w:r>
            <w:r>
              <w:rPr>
                <w:rFonts w:eastAsia="Times New Roman"/>
                <w:b/>
                <w:bCs/>
                <w:sz w:val="22"/>
              </w:rPr>
              <w:t>alatti szövet betegségei és tünetei</w:t>
            </w:r>
          </w:p>
        </w:tc>
        <w:tc>
          <w:tcPr>
            <w:tcW w:w="1417" w:type="dxa"/>
          </w:tcPr>
          <w:p w14:paraId="7A66C4BB" w14:textId="77777777" w:rsidR="00653FB4" w:rsidRDefault="00F82C95">
            <w:pPr>
              <w:spacing w:line="260" w:lineRule="exact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Nem gyakori</w:t>
            </w:r>
          </w:p>
        </w:tc>
        <w:tc>
          <w:tcPr>
            <w:tcW w:w="4820" w:type="dxa"/>
          </w:tcPr>
          <w:p w14:paraId="5396350A" w14:textId="77777777" w:rsidR="00653FB4" w:rsidRDefault="00F82C95">
            <w:pPr>
              <w:numPr>
                <w:ilvl w:val="0"/>
                <w:numId w:val="14"/>
              </w:numPr>
              <w:spacing w:line="260" w:lineRule="exact"/>
              <w:ind w:left="357" w:hanging="357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Allergiás dermatitis</w:t>
            </w:r>
          </w:p>
        </w:tc>
      </w:tr>
      <w:tr w:rsidR="00653FB4" w14:paraId="44628D23" w14:textId="77777777">
        <w:tc>
          <w:tcPr>
            <w:tcW w:w="3227" w:type="dxa"/>
            <w:vMerge/>
          </w:tcPr>
          <w:p w14:paraId="241FC8A9" w14:textId="77777777" w:rsidR="00653FB4" w:rsidRDefault="00653FB4">
            <w:pPr>
              <w:spacing w:line="260" w:lineRule="exact"/>
              <w:rPr>
                <w:rFonts w:eastAsia="Times New Roman"/>
                <w:b/>
                <w:bCs/>
              </w:rPr>
            </w:pPr>
          </w:p>
        </w:tc>
        <w:tc>
          <w:tcPr>
            <w:tcW w:w="1417" w:type="dxa"/>
          </w:tcPr>
          <w:p w14:paraId="7261D262" w14:textId="77777777" w:rsidR="00653FB4" w:rsidRDefault="00F82C95">
            <w:pPr>
              <w:spacing w:line="260" w:lineRule="exact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Nem ismert</w:t>
            </w:r>
          </w:p>
        </w:tc>
        <w:tc>
          <w:tcPr>
            <w:tcW w:w="4820" w:type="dxa"/>
          </w:tcPr>
          <w:p w14:paraId="2DD0F562" w14:textId="77777777" w:rsidR="00653FB4" w:rsidRDefault="00F82C95">
            <w:pPr>
              <w:numPr>
                <w:ilvl w:val="0"/>
                <w:numId w:val="14"/>
              </w:numPr>
              <w:spacing w:line="260" w:lineRule="exact"/>
              <w:ind w:left="357" w:hanging="357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Fix gyógyszerkiütés</w:t>
            </w:r>
          </w:p>
        </w:tc>
      </w:tr>
      <w:tr w:rsidR="00653FB4" w14:paraId="5EB37401" w14:textId="77777777">
        <w:tc>
          <w:tcPr>
            <w:tcW w:w="3227" w:type="dxa"/>
          </w:tcPr>
          <w:p w14:paraId="056D1ACE" w14:textId="77777777" w:rsidR="00653FB4" w:rsidRDefault="00F82C95">
            <w:pPr>
              <w:spacing w:line="260" w:lineRule="exac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sz w:val="22"/>
              </w:rPr>
              <w:t>Vese- és húgyúti betegségek és tünetek</w:t>
            </w:r>
          </w:p>
        </w:tc>
        <w:tc>
          <w:tcPr>
            <w:tcW w:w="1417" w:type="dxa"/>
          </w:tcPr>
          <w:p w14:paraId="45AA11CC" w14:textId="77777777" w:rsidR="00653FB4" w:rsidRDefault="00F82C95">
            <w:pPr>
              <w:spacing w:line="260" w:lineRule="exact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>Nem ismert</w:t>
            </w:r>
          </w:p>
        </w:tc>
        <w:tc>
          <w:tcPr>
            <w:tcW w:w="4820" w:type="dxa"/>
          </w:tcPr>
          <w:p w14:paraId="2879AB75" w14:textId="7C235014" w:rsidR="00653FB4" w:rsidRDefault="00F82C95">
            <w:pPr>
              <w:numPr>
                <w:ilvl w:val="0"/>
                <w:numId w:val="16"/>
              </w:numPr>
              <w:tabs>
                <w:tab w:val="clear" w:pos="720"/>
                <w:tab w:val="num" w:pos="318"/>
                <w:tab w:val="num" w:pos="360"/>
              </w:tabs>
              <w:spacing w:line="260" w:lineRule="exact"/>
              <w:ind w:left="357" w:hanging="357"/>
              <w:rPr>
                <w:rFonts w:eastAsia="Times New Roman"/>
              </w:rPr>
            </w:pPr>
            <w:r>
              <w:rPr>
                <w:rFonts w:eastAsia="Times New Roman"/>
                <w:sz w:val="22"/>
              </w:rPr>
              <w:t xml:space="preserve">Akut </w:t>
            </w:r>
            <w:proofErr w:type="spellStart"/>
            <w:r>
              <w:rPr>
                <w:rFonts w:eastAsia="Times New Roman"/>
                <w:sz w:val="22"/>
              </w:rPr>
              <w:t>renalis</w:t>
            </w:r>
            <w:proofErr w:type="spellEnd"/>
            <w:r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corticalis</w:t>
            </w:r>
            <w:proofErr w:type="spellEnd"/>
            <w:r>
              <w:rPr>
                <w:rFonts w:eastAsia="Times New Roman"/>
                <w:sz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</w:rPr>
              <w:t>necrosis</w:t>
            </w:r>
            <w:proofErr w:type="spellEnd"/>
            <w:r>
              <w:rPr>
                <w:rFonts w:eastAsia="Times New Roman"/>
                <w:sz w:val="22"/>
              </w:rPr>
              <w:t xml:space="preserve"> </w:t>
            </w:r>
          </w:p>
        </w:tc>
      </w:tr>
    </w:tbl>
    <w:p w14:paraId="257635AA" w14:textId="77777777" w:rsidR="00653FB4" w:rsidRDefault="00653FB4">
      <w:pPr>
        <w:spacing w:line="260" w:lineRule="exact"/>
        <w:rPr>
          <w:sz w:val="22"/>
        </w:rPr>
      </w:pPr>
    </w:p>
    <w:p w14:paraId="42F5726E" w14:textId="77777777" w:rsidR="00653FB4" w:rsidRDefault="00F82C95">
      <w:pPr>
        <w:rPr>
          <w:sz w:val="22"/>
          <w:u w:val="single"/>
        </w:rPr>
      </w:pPr>
      <w:r>
        <w:rPr>
          <w:sz w:val="22"/>
          <w:u w:val="single"/>
        </w:rPr>
        <w:t>Feltételezett mellékhatások bejelentése</w:t>
      </w:r>
    </w:p>
    <w:p w14:paraId="5D33BE3A" w14:textId="77777777" w:rsidR="00653FB4" w:rsidRDefault="00F82C95">
      <w:pPr>
        <w:rPr>
          <w:sz w:val="22"/>
        </w:rPr>
      </w:pPr>
      <w:r>
        <w:rPr>
          <w:sz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5158FDD" w14:textId="008953E7" w:rsidR="00653FB4" w:rsidRDefault="00F82C95">
      <w:pPr>
        <w:rPr>
          <w:sz w:val="22"/>
        </w:rPr>
      </w:pPr>
      <w:r>
        <w:rPr>
          <w:sz w:val="22"/>
        </w:rPr>
        <w:t>Az egészségügyi szakembereket kérjük, hogy jelentsék be a feltételezett mellékhatásokat a hatóság részére</w:t>
      </w:r>
      <w:r w:rsidRPr="00DA392E">
        <w:rPr>
          <w:sz w:val="22"/>
        </w:rPr>
        <w:t xml:space="preserve"> </w:t>
      </w:r>
      <w:r w:rsidR="00BE0348">
        <w:rPr>
          <w:sz w:val="22"/>
        </w:rPr>
        <w:t xml:space="preserve">az </w:t>
      </w:r>
      <w:hyperlink r:id="rId7" w:history="1">
        <w:r w:rsidR="002E7A35" w:rsidRPr="002E7A35">
          <w:rPr>
            <w:rFonts w:eastAsia="SimSun" w:cs="Times New Roman"/>
            <w:snapToGrid w:val="0"/>
            <w:color w:val="0000FF"/>
            <w:sz w:val="22"/>
            <w:szCs w:val="20"/>
            <w:highlight w:val="lightGray"/>
            <w:u w:val="single"/>
          </w:rPr>
          <w:t>V. füg</w:t>
        </w:r>
        <w:bookmarkStart w:id="1" w:name="_Hlt352075914"/>
        <w:bookmarkStart w:id="2" w:name="_Hlt352075915"/>
        <w:r w:rsidR="002E7A35" w:rsidRPr="002E7A35">
          <w:rPr>
            <w:rFonts w:eastAsia="SimSun" w:cs="Times New Roman"/>
            <w:snapToGrid w:val="0"/>
            <w:color w:val="0000FF"/>
            <w:sz w:val="22"/>
            <w:szCs w:val="20"/>
            <w:highlight w:val="lightGray"/>
            <w:u w:val="single"/>
          </w:rPr>
          <w:t>g</w:t>
        </w:r>
        <w:bookmarkEnd w:id="1"/>
        <w:bookmarkEnd w:id="2"/>
        <w:r w:rsidR="002E7A35" w:rsidRPr="002E7A35">
          <w:rPr>
            <w:rFonts w:eastAsia="SimSun" w:cs="Times New Roman"/>
            <w:snapToGrid w:val="0"/>
            <w:color w:val="0000FF"/>
            <w:sz w:val="22"/>
            <w:szCs w:val="20"/>
            <w:highlight w:val="lightGray"/>
            <w:u w:val="single"/>
          </w:rPr>
          <w:t>elékben</w:t>
        </w:r>
      </w:hyperlink>
      <w:r w:rsidR="002E7A35" w:rsidRPr="002E7A35">
        <w:rPr>
          <w:rFonts w:eastAsia="SimSun" w:cs="Times New Roman"/>
          <w:snapToGrid w:val="0"/>
          <w:color w:val="auto"/>
          <w:sz w:val="22"/>
          <w:szCs w:val="20"/>
          <w:highlight w:val="lightGray"/>
        </w:rPr>
        <w:t xml:space="preserve"> található elérhetőségek valamelyikén keresztül</w:t>
      </w:r>
      <w:r w:rsidR="0009636C">
        <w:t>.</w:t>
      </w:r>
    </w:p>
    <w:p w14:paraId="5E508612" w14:textId="77777777" w:rsidR="00653FB4" w:rsidRPr="00BC32EF" w:rsidRDefault="00653FB4" w:rsidP="00B418C4">
      <w:pPr>
        <w:pStyle w:val="Jegyzetszveg"/>
        <w:rPr>
          <w:sz w:val="22"/>
        </w:rPr>
      </w:pPr>
    </w:p>
    <w:p w14:paraId="52344398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4.9</w:t>
      </w:r>
      <w:r>
        <w:rPr>
          <w:b/>
          <w:bCs/>
          <w:sz w:val="22"/>
        </w:rPr>
        <w:tab/>
        <w:t>Túladagolás</w:t>
      </w:r>
    </w:p>
    <w:p w14:paraId="3A11FD01" w14:textId="77777777" w:rsidR="00653FB4" w:rsidRDefault="00653FB4">
      <w:pPr>
        <w:spacing w:line="260" w:lineRule="exact"/>
        <w:rPr>
          <w:sz w:val="22"/>
        </w:rPr>
      </w:pPr>
    </w:p>
    <w:p w14:paraId="5F23E095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Túladagolással kapcsolatos esetet nem jelentettek.</w:t>
      </w:r>
    </w:p>
    <w:p w14:paraId="7E6BB06E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A túladagolás jelei és tünetei lehetnek: szédülés, fejfájás, alacsony vérnyomás, görcsrohamok. Kimutatták, hogy a görcsrohamok nagyobb gyakorisággal alakulnak ki az adag emelésével.</w:t>
      </w:r>
    </w:p>
    <w:p w14:paraId="045C7948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Túladagolás esetén támogató kezelés javasolt.</w:t>
      </w:r>
    </w:p>
    <w:p w14:paraId="6AA5624C" w14:textId="77777777" w:rsidR="00653FB4" w:rsidRDefault="00653FB4">
      <w:pPr>
        <w:spacing w:line="260" w:lineRule="exact"/>
        <w:rPr>
          <w:sz w:val="22"/>
        </w:rPr>
      </w:pPr>
    </w:p>
    <w:p w14:paraId="65B8DEB7" w14:textId="77777777" w:rsidR="00653FB4" w:rsidRDefault="00653FB4">
      <w:pPr>
        <w:spacing w:line="260" w:lineRule="exact"/>
        <w:rPr>
          <w:sz w:val="22"/>
        </w:rPr>
      </w:pPr>
    </w:p>
    <w:p w14:paraId="0044FBE9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5.</w:t>
      </w:r>
      <w:r>
        <w:rPr>
          <w:b/>
          <w:bCs/>
          <w:sz w:val="22"/>
        </w:rPr>
        <w:tab/>
        <w:t>FARMAKOLÓGIAI TULAJDONSÁGOK</w:t>
      </w:r>
    </w:p>
    <w:p w14:paraId="7180BC8F" w14:textId="77777777" w:rsidR="00653FB4" w:rsidRDefault="00653FB4">
      <w:pPr>
        <w:spacing w:line="260" w:lineRule="exact"/>
        <w:rPr>
          <w:sz w:val="22"/>
        </w:rPr>
      </w:pPr>
    </w:p>
    <w:p w14:paraId="72CEAC83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5.1</w:t>
      </w:r>
      <w:r>
        <w:rPr>
          <w:b/>
          <w:bCs/>
          <w:sz w:val="22"/>
        </w:rPr>
        <w:tab/>
        <w:t>Farmakodinámiás tulajdonságok</w:t>
      </w:r>
    </w:p>
    <w:p w14:paraId="7DBD21AF" w14:textId="77777777" w:rsidR="00653FB4" w:rsidRDefault="00653FB4">
      <w:pPr>
        <w:spacing w:line="260" w:lineRule="exact"/>
        <w:rPr>
          <w:sz w:val="22"/>
        </w:rPr>
      </w:pPr>
    </w:p>
    <w:p w14:paraId="5BC23FC4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Farmakoterápiás csoport: Vérzéscsillapítók, antifibrinolitikumok, ATC kód: B02A A02</w:t>
      </w:r>
    </w:p>
    <w:p w14:paraId="46153285" w14:textId="77777777" w:rsidR="00653FB4" w:rsidRDefault="00653FB4">
      <w:pPr>
        <w:spacing w:line="260" w:lineRule="exact"/>
        <w:rPr>
          <w:sz w:val="22"/>
        </w:rPr>
      </w:pPr>
    </w:p>
    <w:p w14:paraId="363FFCDF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Hatóanyaga a tranexámsav, a plazmin fibrinolitikus aktivitásának gátlásán keresztül fejti ki vérzésellenes hatását. A tranexámsav és a plazminogén komplexet képez; ez a kötés fennmarad a plazminogén-plazmin átalakulást követően is.</w:t>
      </w:r>
    </w:p>
    <w:p w14:paraId="4FD4C7B5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A tranexámsavhoz kötött plazmin fibrinre kifejtett hatása jelentősen csökkent a szabad plazminéhoz képest.</w:t>
      </w:r>
    </w:p>
    <w:p w14:paraId="30FE5CA5" w14:textId="77777777" w:rsidR="00653FB4" w:rsidRDefault="00F82C95">
      <w:pPr>
        <w:spacing w:line="260" w:lineRule="exact"/>
        <w:rPr>
          <w:sz w:val="22"/>
        </w:rPr>
      </w:pPr>
      <w:r>
        <w:rPr>
          <w:i/>
          <w:iCs/>
          <w:sz w:val="22"/>
        </w:rPr>
        <w:t>In vitro</w:t>
      </w:r>
      <w:r>
        <w:rPr>
          <w:sz w:val="22"/>
        </w:rPr>
        <w:t xml:space="preserve"> vizsgálatokban kimutatták, hogy a nagy dózisú tranexámsav gátolja a komplementrendszer aktivitását is.</w:t>
      </w:r>
    </w:p>
    <w:p w14:paraId="29350361" w14:textId="77777777" w:rsidR="00653FB4" w:rsidRDefault="00653FB4">
      <w:pPr>
        <w:spacing w:line="260" w:lineRule="exact"/>
        <w:rPr>
          <w:sz w:val="22"/>
        </w:rPr>
      </w:pPr>
    </w:p>
    <w:p w14:paraId="71CF671E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Egy 2007-ben publikált retrospektív tanulmány szerint 147 myomás beteget kezeltek tranexámsavval. A készítmény a kezelt betegeknél (n = 22, 15%) szignifikánsan (p = 0,0003) magasabb számban okozott thrombosison alapuló tumornekrózist a kontroll csoporthoz (n = 16, 4,7%) képest. Ilyen betegeknél a tumornekrózis tüneteire (láz, fájdalom) különös figyelemmel kell lenni.</w:t>
      </w:r>
    </w:p>
    <w:p w14:paraId="3CB3E3A8" w14:textId="77777777" w:rsidR="00653FB4" w:rsidRDefault="00653FB4">
      <w:pPr>
        <w:spacing w:line="260" w:lineRule="exact"/>
        <w:rPr>
          <w:sz w:val="22"/>
        </w:rPr>
      </w:pPr>
    </w:p>
    <w:p w14:paraId="5C318450" w14:textId="77777777" w:rsidR="00653FB4" w:rsidRDefault="00F82C95">
      <w:pPr>
        <w:keepNext/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 xml:space="preserve">5.2 </w:t>
      </w:r>
      <w:r>
        <w:rPr>
          <w:b/>
          <w:bCs/>
          <w:sz w:val="22"/>
        </w:rPr>
        <w:tab/>
        <w:t>Farmakokinetikai tulajdonságok</w:t>
      </w:r>
    </w:p>
    <w:p w14:paraId="72ADDA8F" w14:textId="77777777" w:rsidR="00653FB4" w:rsidRDefault="00653FB4">
      <w:pPr>
        <w:keepNext/>
        <w:spacing w:line="260" w:lineRule="exact"/>
        <w:rPr>
          <w:sz w:val="22"/>
        </w:rPr>
      </w:pPr>
    </w:p>
    <w:p w14:paraId="12A69690" w14:textId="77777777" w:rsidR="00653FB4" w:rsidRDefault="00F82C95">
      <w:pPr>
        <w:keepNext/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Felszívódás</w:t>
      </w:r>
    </w:p>
    <w:p w14:paraId="1BEADA79" w14:textId="3E9E68A6" w:rsidR="00653FB4" w:rsidRDefault="00F82C95">
      <w:pPr>
        <w:keepNext/>
        <w:spacing w:line="260" w:lineRule="exact"/>
        <w:rPr>
          <w:sz w:val="22"/>
        </w:rPr>
      </w:pPr>
      <w:r>
        <w:rPr>
          <w:sz w:val="22"/>
        </w:rPr>
        <w:t xml:space="preserve">Orális adagolás esetén (20 mg/testtömeg-kilogramm) a felszívódás gyors, a plazma csúcskoncentráció a 2. és 3. óra között alakul ki és a 6. órában nullára csökken. </w:t>
      </w:r>
    </w:p>
    <w:p w14:paraId="1BCC045D" w14:textId="77777777" w:rsidR="00653FB4" w:rsidRDefault="00F82C95">
      <w:pPr>
        <w:keepNext/>
        <w:spacing w:line="260" w:lineRule="exact"/>
        <w:rPr>
          <w:sz w:val="22"/>
        </w:rPr>
      </w:pPr>
      <w:r>
        <w:rPr>
          <w:sz w:val="22"/>
        </w:rPr>
        <w:t>Intravénás (500 mg) beadását követően a plazma csúcskoncentráció azonnal kialakul, és a 6. órára csökken nullára.</w:t>
      </w:r>
    </w:p>
    <w:p w14:paraId="7CD0244C" w14:textId="77777777" w:rsidR="00653FB4" w:rsidRDefault="00F82C95">
      <w:pPr>
        <w:keepNext/>
        <w:spacing w:line="260" w:lineRule="exact"/>
        <w:rPr>
          <w:sz w:val="22"/>
        </w:rPr>
      </w:pPr>
      <w:r>
        <w:rPr>
          <w:sz w:val="22"/>
        </w:rPr>
        <w:t>Felezési idő – intravénás alkalmazás esetén – 3 óra.</w:t>
      </w:r>
    </w:p>
    <w:p w14:paraId="580D6082" w14:textId="77777777" w:rsidR="00653FB4" w:rsidRDefault="00653FB4">
      <w:pPr>
        <w:keepNext/>
        <w:spacing w:line="260" w:lineRule="exact"/>
        <w:rPr>
          <w:sz w:val="22"/>
          <w:u w:val="single"/>
        </w:rPr>
      </w:pPr>
    </w:p>
    <w:p w14:paraId="143C4075" w14:textId="77777777" w:rsidR="00653FB4" w:rsidRDefault="00F82C95">
      <w:pPr>
        <w:keepNext/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Eloszlás</w:t>
      </w:r>
    </w:p>
    <w:p w14:paraId="66818B30" w14:textId="77777777" w:rsidR="00653FB4" w:rsidRDefault="00F82C95">
      <w:pPr>
        <w:keepNext/>
        <w:spacing w:line="260" w:lineRule="exact"/>
        <w:rPr>
          <w:sz w:val="22"/>
        </w:rPr>
      </w:pPr>
      <w:r>
        <w:rPr>
          <w:sz w:val="22"/>
        </w:rPr>
        <w:t>Eloszlik a szövetekben és később a liquorban is megjelenik.</w:t>
      </w:r>
    </w:p>
    <w:p w14:paraId="12C5A39B" w14:textId="77777777" w:rsidR="00653FB4" w:rsidRDefault="00F82C95">
      <w:pPr>
        <w:keepNext/>
        <w:spacing w:line="260" w:lineRule="exact"/>
        <w:rPr>
          <w:sz w:val="22"/>
        </w:rPr>
      </w:pPr>
      <w:r>
        <w:rPr>
          <w:sz w:val="22"/>
        </w:rPr>
        <w:t>Megoszlási térfogata a testtömeg 33%-a.</w:t>
      </w:r>
    </w:p>
    <w:p w14:paraId="43222BC1" w14:textId="77777777" w:rsidR="00653FB4" w:rsidRDefault="00653FB4">
      <w:pPr>
        <w:keepNext/>
        <w:spacing w:line="260" w:lineRule="exact"/>
        <w:rPr>
          <w:sz w:val="22"/>
          <w:u w:val="single"/>
        </w:rPr>
      </w:pPr>
    </w:p>
    <w:p w14:paraId="10F558AB" w14:textId="77777777" w:rsidR="00653FB4" w:rsidRDefault="00F82C95">
      <w:pPr>
        <w:keepNext/>
        <w:spacing w:line="260" w:lineRule="exact"/>
        <w:rPr>
          <w:sz w:val="22"/>
          <w:u w:val="single"/>
        </w:rPr>
      </w:pPr>
      <w:r>
        <w:rPr>
          <w:sz w:val="22"/>
          <w:u w:val="single"/>
        </w:rPr>
        <w:t>Elimináció</w:t>
      </w:r>
    </w:p>
    <w:p w14:paraId="2F574B86" w14:textId="77777777" w:rsidR="00653FB4" w:rsidRDefault="00F82C95">
      <w:pPr>
        <w:keepNext/>
        <w:spacing w:line="260" w:lineRule="exact"/>
        <w:rPr>
          <w:sz w:val="22"/>
        </w:rPr>
      </w:pPr>
      <w:r>
        <w:rPr>
          <w:sz w:val="22"/>
        </w:rPr>
        <w:t>Eliminációs felezési ideje kb. 1 óra. A beadott dózis 90%-a változatlan formában választódik ki a vizelettel az első 12 órában (glomerulus filtrációval, tubuláris reabszorpció nélkül). Vesekárosodásban szenvedő betegeknél emelkedett a plazmakoncentráció.</w:t>
      </w:r>
    </w:p>
    <w:p w14:paraId="42F91E62" w14:textId="77777777" w:rsidR="00653FB4" w:rsidRDefault="00653FB4">
      <w:pPr>
        <w:spacing w:line="260" w:lineRule="exact"/>
        <w:rPr>
          <w:sz w:val="22"/>
        </w:rPr>
      </w:pPr>
    </w:p>
    <w:p w14:paraId="6A0F731C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5.3</w:t>
      </w:r>
      <w:r>
        <w:rPr>
          <w:b/>
          <w:bCs/>
          <w:sz w:val="22"/>
        </w:rPr>
        <w:tab/>
        <w:t>A preklinikai biztonságossági vizsgálatok eredményei</w:t>
      </w:r>
    </w:p>
    <w:p w14:paraId="6DBFED62" w14:textId="77777777" w:rsidR="00653FB4" w:rsidRDefault="00653FB4">
      <w:pPr>
        <w:spacing w:line="260" w:lineRule="exact"/>
        <w:rPr>
          <w:rFonts w:eastAsia="Times New Roman"/>
          <w:sz w:val="22"/>
          <w:lang w:eastAsia="en-US"/>
        </w:rPr>
      </w:pPr>
    </w:p>
    <w:p w14:paraId="7702BE3C" w14:textId="77777777" w:rsidR="00653FB4" w:rsidRDefault="00F82C95">
      <w:pPr>
        <w:spacing w:line="260" w:lineRule="exact"/>
        <w:rPr>
          <w:rFonts w:eastAsia="Times New Roman"/>
          <w:sz w:val="22"/>
          <w:lang w:eastAsia="en-US"/>
        </w:rPr>
      </w:pPr>
      <w:r>
        <w:rPr>
          <w:rFonts w:eastAsia="Times New Roman"/>
          <w:sz w:val="22"/>
          <w:lang w:eastAsia="en-US"/>
        </w:rPr>
        <w:t>A hagyományos – farmakológiai biztonságossági, ismételt adagolású dózistoxicitási, genotoxicitási, karcinogenitási, reprodukcióra-, és fejlődésre kifejtett toxicitási – vizsgálatokból származó nem</w:t>
      </w:r>
      <w:r>
        <w:rPr>
          <w:rFonts w:eastAsia="Times New Roman"/>
          <w:sz w:val="22"/>
          <w:lang w:eastAsia="en-US"/>
        </w:rPr>
        <w:noBreakHyphen/>
        <w:t>klinikai jellegű adatok azt igazolták, hogy a készítmény emberen való alkalmazásakor különös veszély nem várható.</w:t>
      </w:r>
    </w:p>
    <w:p w14:paraId="3F490ABE" w14:textId="77777777" w:rsidR="00653FB4" w:rsidRDefault="00F82C95">
      <w:pPr>
        <w:spacing w:line="260" w:lineRule="exact"/>
        <w:rPr>
          <w:sz w:val="22"/>
        </w:rPr>
      </w:pPr>
      <w:r>
        <w:rPr>
          <w:rFonts w:eastAsia="Times New Roman"/>
          <w:sz w:val="22"/>
          <w:lang w:eastAsia="en-US"/>
        </w:rPr>
        <w:t>Intrathecalis alkalmazás esetén állatokban epileptogén hatást figyeltek meg a tranexámsav alkalmazásával összefüggésben.</w:t>
      </w:r>
    </w:p>
    <w:p w14:paraId="702DFA1B" w14:textId="77777777" w:rsidR="00653FB4" w:rsidRDefault="00653FB4">
      <w:pPr>
        <w:spacing w:line="260" w:lineRule="exact"/>
        <w:rPr>
          <w:sz w:val="22"/>
        </w:rPr>
      </w:pPr>
    </w:p>
    <w:p w14:paraId="2EE0CAE8" w14:textId="77777777" w:rsidR="00653FB4" w:rsidRDefault="00653FB4">
      <w:pPr>
        <w:spacing w:line="260" w:lineRule="exact"/>
        <w:rPr>
          <w:sz w:val="22"/>
        </w:rPr>
      </w:pPr>
    </w:p>
    <w:p w14:paraId="00D4EBBE" w14:textId="77777777" w:rsidR="00653FB4" w:rsidRDefault="00F82C95">
      <w:pPr>
        <w:numPr>
          <w:ilvl w:val="0"/>
          <w:numId w:val="5"/>
        </w:numPr>
        <w:tabs>
          <w:tab w:val="clear" w:pos="283"/>
          <w:tab w:val="num" w:pos="567"/>
        </w:tabs>
        <w:spacing w:line="260" w:lineRule="exact"/>
        <w:ind w:left="268"/>
        <w:rPr>
          <w:b/>
          <w:bCs/>
          <w:sz w:val="22"/>
        </w:rPr>
      </w:pPr>
      <w:r>
        <w:rPr>
          <w:b/>
          <w:bCs/>
          <w:sz w:val="22"/>
        </w:rPr>
        <w:t>GYÓGYSZERÉSZETI JELLEMZŐK</w:t>
      </w:r>
    </w:p>
    <w:p w14:paraId="03649A1D" w14:textId="77777777" w:rsidR="00653FB4" w:rsidRDefault="00653FB4">
      <w:pPr>
        <w:spacing w:line="260" w:lineRule="exact"/>
        <w:ind w:left="-15"/>
        <w:rPr>
          <w:sz w:val="22"/>
        </w:rPr>
      </w:pPr>
    </w:p>
    <w:p w14:paraId="457905F4" w14:textId="77777777" w:rsidR="00653FB4" w:rsidRDefault="00F82C95">
      <w:pPr>
        <w:spacing w:line="260" w:lineRule="exact"/>
        <w:ind w:left="-15"/>
        <w:rPr>
          <w:b/>
          <w:bCs/>
          <w:sz w:val="22"/>
        </w:rPr>
      </w:pPr>
      <w:r>
        <w:rPr>
          <w:b/>
          <w:bCs/>
          <w:sz w:val="22"/>
        </w:rPr>
        <w:t>6.1</w:t>
      </w:r>
      <w:r>
        <w:rPr>
          <w:b/>
          <w:bCs/>
          <w:sz w:val="22"/>
        </w:rPr>
        <w:tab/>
        <w:t>Segédanyagok felsorolása</w:t>
      </w:r>
    </w:p>
    <w:p w14:paraId="4EE6488E" w14:textId="77777777" w:rsidR="00653FB4" w:rsidRDefault="00653FB4">
      <w:pPr>
        <w:spacing w:line="260" w:lineRule="exact"/>
        <w:ind w:left="-15"/>
        <w:rPr>
          <w:sz w:val="22"/>
        </w:rPr>
      </w:pPr>
    </w:p>
    <w:p w14:paraId="737A48D3" w14:textId="77777777" w:rsidR="00653FB4" w:rsidRDefault="00F82C95">
      <w:pPr>
        <w:spacing w:line="260" w:lineRule="exact"/>
        <w:ind w:left="-15"/>
        <w:rPr>
          <w:i/>
          <w:iCs/>
          <w:sz w:val="22"/>
        </w:rPr>
      </w:pPr>
      <w:r>
        <w:rPr>
          <w:i/>
          <w:iCs/>
          <w:sz w:val="22"/>
        </w:rPr>
        <w:t>Tablettamag:</w:t>
      </w:r>
    </w:p>
    <w:p w14:paraId="3548AD4E" w14:textId="46DDF35D" w:rsidR="00653FB4" w:rsidRDefault="00897919">
      <w:pPr>
        <w:spacing w:line="260" w:lineRule="exact"/>
        <w:ind w:left="-15"/>
        <w:rPr>
          <w:sz w:val="22"/>
        </w:rPr>
      </w:pPr>
      <w:r>
        <w:rPr>
          <w:sz w:val="22"/>
        </w:rPr>
        <w:t>m</w:t>
      </w:r>
      <w:r w:rsidR="00F82C95">
        <w:rPr>
          <w:sz w:val="22"/>
        </w:rPr>
        <w:t>agnézium-sztearát</w:t>
      </w:r>
    </w:p>
    <w:p w14:paraId="402D5D55" w14:textId="3AA5C434" w:rsidR="00653FB4" w:rsidRDefault="00897919">
      <w:pPr>
        <w:spacing w:line="260" w:lineRule="exact"/>
        <w:ind w:left="-15"/>
        <w:rPr>
          <w:sz w:val="22"/>
        </w:rPr>
      </w:pPr>
      <w:r>
        <w:rPr>
          <w:sz w:val="22"/>
        </w:rPr>
        <w:t>b</w:t>
      </w:r>
      <w:r w:rsidR="00F82C95">
        <w:rPr>
          <w:sz w:val="22"/>
        </w:rPr>
        <w:t>úzakeményítő</w:t>
      </w:r>
    </w:p>
    <w:p w14:paraId="2762511C" w14:textId="21699257" w:rsidR="00653FB4" w:rsidRDefault="00897919">
      <w:pPr>
        <w:spacing w:line="260" w:lineRule="exact"/>
        <w:ind w:left="-15"/>
        <w:rPr>
          <w:sz w:val="22"/>
        </w:rPr>
      </w:pPr>
      <w:r>
        <w:rPr>
          <w:sz w:val="22"/>
        </w:rPr>
        <w:t>s</w:t>
      </w:r>
      <w:r w:rsidR="00F82C95">
        <w:rPr>
          <w:sz w:val="22"/>
        </w:rPr>
        <w:t>zacharóz</w:t>
      </w:r>
    </w:p>
    <w:p w14:paraId="01CE60BD" w14:textId="77777777" w:rsidR="00653FB4" w:rsidRDefault="00653FB4">
      <w:pPr>
        <w:spacing w:line="260" w:lineRule="exact"/>
        <w:ind w:left="-15"/>
        <w:rPr>
          <w:sz w:val="22"/>
        </w:rPr>
      </w:pPr>
    </w:p>
    <w:p w14:paraId="6561E3A9" w14:textId="77777777" w:rsidR="00653FB4" w:rsidRDefault="00F82C95">
      <w:pPr>
        <w:spacing w:line="260" w:lineRule="exact"/>
        <w:ind w:left="-15"/>
        <w:rPr>
          <w:sz w:val="22"/>
        </w:rPr>
      </w:pPr>
      <w:r>
        <w:rPr>
          <w:i/>
          <w:iCs/>
          <w:sz w:val="22"/>
        </w:rPr>
        <w:t>Filmbevonat</w:t>
      </w:r>
      <w:r>
        <w:rPr>
          <w:sz w:val="22"/>
        </w:rPr>
        <w:t>:</w:t>
      </w:r>
    </w:p>
    <w:p w14:paraId="7767C2A7" w14:textId="634FDDD4" w:rsidR="00653FB4" w:rsidRDefault="00897919">
      <w:pPr>
        <w:spacing w:line="260" w:lineRule="exact"/>
        <w:ind w:left="-15"/>
        <w:rPr>
          <w:sz w:val="22"/>
        </w:rPr>
      </w:pPr>
      <w:r>
        <w:rPr>
          <w:sz w:val="22"/>
        </w:rPr>
        <w:t>k</w:t>
      </w:r>
      <w:r w:rsidR="00F82C95">
        <w:rPr>
          <w:sz w:val="22"/>
        </w:rPr>
        <w:t>ationos polimetakrilát</w:t>
      </w:r>
    </w:p>
    <w:p w14:paraId="62A385F7" w14:textId="70B3E030" w:rsidR="00653FB4" w:rsidRDefault="00897919">
      <w:pPr>
        <w:spacing w:line="260" w:lineRule="exact"/>
        <w:ind w:left="-15"/>
        <w:rPr>
          <w:sz w:val="22"/>
        </w:rPr>
      </w:pPr>
      <w:r>
        <w:rPr>
          <w:sz w:val="22"/>
        </w:rPr>
        <w:t>k</w:t>
      </w:r>
      <w:r w:rsidR="00F82C95">
        <w:rPr>
          <w:sz w:val="22"/>
        </w:rPr>
        <w:t>arnaubaviasz</w:t>
      </w:r>
    </w:p>
    <w:p w14:paraId="365733F7" w14:textId="77777777" w:rsidR="00653FB4" w:rsidRDefault="00653FB4">
      <w:pPr>
        <w:spacing w:line="260" w:lineRule="exact"/>
        <w:rPr>
          <w:sz w:val="22"/>
        </w:rPr>
      </w:pPr>
    </w:p>
    <w:p w14:paraId="4A715F66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6.2</w:t>
      </w:r>
      <w:r>
        <w:rPr>
          <w:b/>
          <w:bCs/>
          <w:sz w:val="22"/>
        </w:rPr>
        <w:tab/>
        <w:t>Inkompatibilitások</w:t>
      </w:r>
    </w:p>
    <w:p w14:paraId="7A65AFA2" w14:textId="77777777" w:rsidR="00653FB4" w:rsidRDefault="00653FB4">
      <w:pPr>
        <w:spacing w:line="260" w:lineRule="exact"/>
        <w:rPr>
          <w:sz w:val="22"/>
        </w:rPr>
      </w:pPr>
    </w:p>
    <w:p w14:paraId="2A0FC30D" w14:textId="25F95480" w:rsidR="00653FB4" w:rsidRDefault="00F82C95">
      <w:pPr>
        <w:spacing w:line="260" w:lineRule="exact"/>
        <w:rPr>
          <w:sz w:val="22"/>
        </w:rPr>
      </w:pPr>
      <w:r>
        <w:rPr>
          <w:sz w:val="22"/>
        </w:rPr>
        <w:t>Nem értelmezhető</w:t>
      </w:r>
      <w:r w:rsidR="00897919">
        <w:rPr>
          <w:sz w:val="22"/>
        </w:rPr>
        <w:t>.</w:t>
      </w:r>
      <w:r>
        <w:rPr>
          <w:sz w:val="22"/>
        </w:rPr>
        <w:t xml:space="preserve"> </w:t>
      </w:r>
    </w:p>
    <w:p w14:paraId="39BAA476" w14:textId="77777777" w:rsidR="00653FB4" w:rsidRDefault="00653FB4">
      <w:pPr>
        <w:spacing w:line="260" w:lineRule="exact"/>
        <w:rPr>
          <w:sz w:val="22"/>
        </w:rPr>
      </w:pPr>
    </w:p>
    <w:p w14:paraId="48441B6F" w14:textId="77777777" w:rsidR="00653FB4" w:rsidRDefault="00F82C95">
      <w:pPr>
        <w:keepNext/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6.3</w:t>
      </w:r>
      <w:r>
        <w:rPr>
          <w:b/>
          <w:bCs/>
          <w:sz w:val="22"/>
        </w:rPr>
        <w:tab/>
        <w:t>Felhasználhatósági időtartam</w:t>
      </w:r>
    </w:p>
    <w:p w14:paraId="77DD3F9F" w14:textId="77777777" w:rsidR="00653FB4" w:rsidRDefault="00653FB4">
      <w:pPr>
        <w:keepNext/>
        <w:spacing w:line="260" w:lineRule="exact"/>
        <w:rPr>
          <w:i/>
          <w:iCs/>
          <w:sz w:val="22"/>
        </w:rPr>
      </w:pPr>
    </w:p>
    <w:p w14:paraId="7DDEAFD8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3 év</w:t>
      </w:r>
    </w:p>
    <w:p w14:paraId="630CDFB0" w14:textId="77777777" w:rsidR="00653FB4" w:rsidRDefault="00653FB4">
      <w:pPr>
        <w:spacing w:line="260" w:lineRule="exact"/>
        <w:rPr>
          <w:sz w:val="22"/>
        </w:rPr>
      </w:pPr>
    </w:p>
    <w:p w14:paraId="7FEE4444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6.4</w:t>
      </w:r>
      <w:r>
        <w:rPr>
          <w:b/>
          <w:bCs/>
          <w:sz w:val="22"/>
        </w:rPr>
        <w:tab/>
        <w:t>Különleges tárolási előírások</w:t>
      </w:r>
    </w:p>
    <w:p w14:paraId="72BDE308" w14:textId="77777777" w:rsidR="00653FB4" w:rsidRDefault="00653FB4">
      <w:pPr>
        <w:spacing w:line="260" w:lineRule="exact"/>
        <w:rPr>
          <w:b/>
          <w:bCs/>
          <w:sz w:val="22"/>
        </w:rPr>
      </w:pPr>
    </w:p>
    <w:p w14:paraId="79BB8D2F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Legfeljebb 25 °C-on tárolandó.</w:t>
      </w:r>
    </w:p>
    <w:p w14:paraId="2B2437D7" w14:textId="77777777" w:rsidR="00653FB4" w:rsidRDefault="00653FB4">
      <w:pPr>
        <w:spacing w:line="260" w:lineRule="exact"/>
        <w:rPr>
          <w:sz w:val="22"/>
        </w:rPr>
      </w:pPr>
    </w:p>
    <w:p w14:paraId="277EFF02" w14:textId="77777777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6.5</w:t>
      </w:r>
      <w:r>
        <w:rPr>
          <w:b/>
          <w:bCs/>
          <w:sz w:val="22"/>
        </w:rPr>
        <w:tab/>
        <w:t>Csomagolás típusa és kiszerelése</w:t>
      </w:r>
    </w:p>
    <w:p w14:paraId="4E09C9A4" w14:textId="77777777" w:rsidR="00653FB4" w:rsidRDefault="00653FB4">
      <w:pPr>
        <w:spacing w:line="260" w:lineRule="exact"/>
        <w:rPr>
          <w:b/>
          <w:bCs/>
          <w:sz w:val="22"/>
        </w:rPr>
      </w:pPr>
    </w:p>
    <w:p w14:paraId="68897137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20 db filmtabletta PVC/Alu buborékcsomagolásban, dobozban.</w:t>
      </w:r>
    </w:p>
    <w:p w14:paraId="7BC9469C" w14:textId="77777777" w:rsidR="00653FB4" w:rsidRDefault="00653FB4">
      <w:pPr>
        <w:spacing w:line="260" w:lineRule="exact"/>
        <w:rPr>
          <w:sz w:val="22"/>
        </w:rPr>
      </w:pPr>
    </w:p>
    <w:p w14:paraId="73A6C3A2" w14:textId="3FAC87E6" w:rsidR="00653FB4" w:rsidRDefault="00F82C95">
      <w:pPr>
        <w:keepNext/>
        <w:spacing w:line="260" w:lineRule="exact"/>
        <w:ind w:left="567" w:hanging="567"/>
        <w:rPr>
          <w:b/>
          <w:bCs/>
          <w:sz w:val="22"/>
        </w:rPr>
      </w:pPr>
      <w:r>
        <w:rPr>
          <w:b/>
          <w:bCs/>
          <w:sz w:val="22"/>
        </w:rPr>
        <w:t>6.6</w:t>
      </w:r>
      <w:r>
        <w:rPr>
          <w:b/>
          <w:bCs/>
          <w:sz w:val="22"/>
        </w:rPr>
        <w:tab/>
        <w:t>A megsemmisítésre vonatkozó különleges óvintézkedések</w:t>
      </w:r>
      <w:r w:rsidR="00FD288E" w:rsidRPr="00FD288E">
        <w:t xml:space="preserve"> </w:t>
      </w:r>
      <w:r w:rsidR="00FD288E" w:rsidRPr="00FD288E">
        <w:rPr>
          <w:b/>
          <w:bCs/>
          <w:sz w:val="22"/>
        </w:rPr>
        <w:t>és egyéb, a készítmény kezelésével kapcsolatos információk</w:t>
      </w:r>
    </w:p>
    <w:p w14:paraId="5FAC0C85" w14:textId="77777777" w:rsidR="00653FB4" w:rsidRDefault="00653FB4">
      <w:pPr>
        <w:spacing w:line="260" w:lineRule="exact"/>
        <w:rPr>
          <w:sz w:val="22"/>
        </w:rPr>
      </w:pPr>
    </w:p>
    <w:p w14:paraId="66692F18" w14:textId="197614BA" w:rsidR="00653FB4" w:rsidRDefault="00F82C95">
      <w:pPr>
        <w:spacing w:line="260" w:lineRule="exact"/>
        <w:rPr>
          <w:sz w:val="22"/>
        </w:rPr>
      </w:pPr>
      <w:r>
        <w:rPr>
          <w:sz w:val="22"/>
        </w:rPr>
        <w:t xml:space="preserve">Bármilyen fel nem használt </w:t>
      </w:r>
      <w:r w:rsidR="00897919">
        <w:rPr>
          <w:sz w:val="22"/>
        </w:rPr>
        <w:t>gyógyszer</w:t>
      </w:r>
      <w:r>
        <w:rPr>
          <w:sz w:val="22"/>
        </w:rPr>
        <w:t xml:space="preserve">, illetve hulladékanyag megsemmisítését a </w:t>
      </w:r>
      <w:r w:rsidR="00897919" w:rsidRPr="00897919">
        <w:rPr>
          <w:sz w:val="22"/>
        </w:rPr>
        <w:t>gyógyszerekre vonatkozó</w:t>
      </w:r>
      <w:r>
        <w:rPr>
          <w:sz w:val="22"/>
        </w:rPr>
        <w:t xml:space="preserve"> előírások szerint kell végrehajtani.</w:t>
      </w:r>
    </w:p>
    <w:p w14:paraId="6C409152" w14:textId="77777777" w:rsidR="00653FB4" w:rsidRDefault="00653FB4">
      <w:pPr>
        <w:spacing w:line="260" w:lineRule="exact"/>
        <w:rPr>
          <w:b/>
          <w:bCs/>
          <w:sz w:val="22"/>
        </w:rPr>
      </w:pPr>
    </w:p>
    <w:p w14:paraId="0413DC52" w14:textId="77777777" w:rsidR="00653FB4" w:rsidRDefault="00F82C95">
      <w:pPr>
        <w:spacing w:line="260" w:lineRule="exact"/>
        <w:rPr>
          <w:rFonts w:eastAsia="Times New Roman"/>
          <w:b/>
          <w:bCs/>
          <w:sz w:val="22"/>
        </w:rPr>
      </w:pPr>
      <w:r>
        <w:rPr>
          <w:b/>
          <w:bCs/>
          <w:sz w:val="22"/>
        </w:rPr>
        <w:t xml:space="preserve">Megjegyzés: </w:t>
      </w:r>
      <w:r>
        <w:rPr>
          <w:rFonts w:eastAsia="Times New Roman"/>
          <w:b/>
          <w:bCs/>
          <w:sz w:val="22"/>
        </w:rPr>
        <w:t>(keresztjelzés nélkül)</w:t>
      </w:r>
    </w:p>
    <w:p w14:paraId="08F7EE10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Osztályozás: II./2 csoport</w:t>
      </w:r>
    </w:p>
    <w:p w14:paraId="2A749F1A" w14:textId="77777777" w:rsidR="00653FB4" w:rsidRDefault="00F82C95">
      <w:pPr>
        <w:spacing w:line="260" w:lineRule="exact"/>
        <w:rPr>
          <w:sz w:val="22"/>
        </w:rPr>
      </w:pPr>
      <w:r>
        <w:rPr>
          <w:sz w:val="22"/>
        </w:rPr>
        <w:t>Korlátozott érvényű orvosi rendelvényhez kötött, szakorvosi kórházi diagnózist követően folyamatos szakorvosi ellenőrzés mellett alkalmazható gyógyszer (Sz).</w:t>
      </w:r>
    </w:p>
    <w:p w14:paraId="57086044" w14:textId="77777777" w:rsidR="00653FB4" w:rsidRDefault="00653FB4">
      <w:pPr>
        <w:spacing w:line="260" w:lineRule="exact"/>
        <w:rPr>
          <w:sz w:val="22"/>
        </w:rPr>
      </w:pPr>
    </w:p>
    <w:p w14:paraId="7761F6E7" w14:textId="77777777" w:rsidR="00653FB4" w:rsidRDefault="00653FB4">
      <w:pPr>
        <w:spacing w:line="260" w:lineRule="exact"/>
        <w:rPr>
          <w:sz w:val="22"/>
        </w:rPr>
      </w:pPr>
    </w:p>
    <w:p w14:paraId="0449F2D5" w14:textId="6205E355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 xml:space="preserve">7. </w:t>
      </w:r>
      <w:r>
        <w:rPr>
          <w:b/>
          <w:bCs/>
          <w:sz w:val="22"/>
        </w:rPr>
        <w:tab/>
      </w:r>
      <w:r w:rsidR="00B31B36">
        <w:rPr>
          <w:b/>
          <w:bCs/>
          <w:sz w:val="22"/>
        </w:rPr>
        <w:t xml:space="preserve">A </w:t>
      </w:r>
      <w:r>
        <w:rPr>
          <w:b/>
          <w:bCs/>
          <w:sz w:val="22"/>
        </w:rPr>
        <w:t>FORGALOMBA HOZATALI ENGEDÉLY JOGOSULTJA</w:t>
      </w:r>
    </w:p>
    <w:p w14:paraId="23F5930C" w14:textId="77777777" w:rsidR="00653FB4" w:rsidRDefault="00653FB4">
      <w:pPr>
        <w:spacing w:line="260" w:lineRule="exact"/>
        <w:ind w:left="-15"/>
        <w:rPr>
          <w:b/>
          <w:bCs/>
          <w:sz w:val="22"/>
        </w:rPr>
      </w:pPr>
    </w:p>
    <w:p w14:paraId="1F16F9A5" w14:textId="77777777" w:rsidR="00653FB4" w:rsidRDefault="00F82C95">
      <w:pPr>
        <w:spacing w:line="260" w:lineRule="exact"/>
        <w:ind w:left="-15"/>
        <w:rPr>
          <w:sz w:val="22"/>
          <w:lang w:eastAsia="hu-HU"/>
        </w:rPr>
      </w:pPr>
      <w:r>
        <w:rPr>
          <w:sz w:val="22"/>
        </w:rPr>
        <w:t>CHEPLAPHARM Arzneimittel GmbH</w:t>
      </w:r>
    </w:p>
    <w:p w14:paraId="4F73F0F4" w14:textId="5B95876F" w:rsidR="00653FB4" w:rsidRDefault="00F82C95" w:rsidP="006F5D14">
      <w:pPr>
        <w:spacing w:line="260" w:lineRule="exact"/>
        <w:ind w:left="-15"/>
        <w:rPr>
          <w:sz w:val="22"/>
        </w:rPr>
      </w:pPr>
      <w:r>
        <w:rPr>
          <w:sz w:val="22"/>
        </w:rPr>
        <w:t>Ziegelhof 24, 17489 Greifswald</w:t>
      </w:r>
    </w:p>
    <w:p w14:paraId="2DEF9B75" w14:textId="77777777" w:rsidR="00653FB4" w:rsidRDefault="00F82C95">
      <w:pPr>
        <w:spacing w:line="260" w:lineRule="exact"/>
        <w:ind w:left="-15"/>
        <w:rPr>
          <w:sz w:val="22"/>
        </w:rPr>
      </w:pPr>
      <w:r>
        <w:rPr>
          <w:sz w:val="22"/>
        </w:rPr>
        <w:t>Németország</w:t>
      </w:r>
    </w:p>
    <w:p w14:paraId="5C2B90AC" w14:textId="77777777" w:rsidR="00653FB4" w:rsidRDefault="00653FB4">
      <w:pPr>
        <w:spacing w:line="260" w:lineRule="exact"/>
        <w:ind w:left="-15"/>
        <w:rPr>
          <w:sz w:val="22"/>
        </w:rPr>
      </w:pPr>
    </w:p>
    <w:p w14:paraId="0E5A0708" w14:textId="77777777" w:rsidR="00653FB4" w:rsidRDefault="00653FB4">
      <w:pPr>
        <w:spacing w:line="260" w:lineRule="exact"/>
        <w:rPr>
          <w:sz w:val="22"/>
        </w:rPr>
      </w:pPr>
    </w:p>
    <w:p w14:paraId="2ECC6AA4" w14:textId="52CED4BD" w:rsidR="00653FB4" w:rsidRDefault="00F82C95">
      <w:pPr>
        <w:spacing w:line="260" w:lineRule="exact"/>
        <w:rPr>
          <w:b/>
          <w:bCs/>
          <w:sz w:val="22"/>
        </w:rPr>
      </w:pPr>
      <w:r>
        <w:rPr>
          <w:b/>
          <w:bCs/>
          <w:sz w:val="22"/>
        </w:rPr>
        <w:t>8.</w:t>
      </w:r>
      <w:r>
        <w:rPr>
          <w:b/>
          <w:bCs/>
          <w:sz w:val="22"/>
        </w:rPr>
        <w:tab/>
        <w:t>A FORGALOMBA HOZATALI ENGEDÉLY SZÁMA</w:t>
      </w:r>
      <w:r w:rsidR="00B31B36">
        <w:rPr>
          <w:b/>
          <w:bCs/>
          <w:sz w:val="22"/>
        </w:rPr>
        <w:t>(</w:t>
      </w:r>
      <w:r>
        <w:rPr>
          <w:b/>
          <w:bCs/>
          <w:sz w:val="22"/>
        </w:rPr>
        <w:t>I</w:t>
      </w:r>
      <w:r w:rsidR="00B31B36">
        <w:rPr>
          <w:b/>
          <w:bCs/>
          <w:sz w:val="22"/>
        </w:rPr>
        <w:t>)</w:t>
      </w:r>
    </w:p>
    <w:p w14:paraId="7323D9E9" w14:textId="77777777" w:rsidR="00653FB4" w:rsidRDefault="00653FB4">
      <w:pPr>
        <w:spacing w:line="260" w:lineRule="exact"/>
        <w:rPr>
          <w:sz w:val="22"/>
        </w:rPr>
      </w:pPr>
    </w:p>
    <w:p w14:paraId="416BB2A9" w14:textId="16EF23D3" w:rsidR="00653FB4" w:rsidRDefault="00F82C95">
      <w:pPr>
        <w:spacing w:line="260" w:lineRule="exact"/>
        <w:rPr>
          <w:sz w:val="22"/>
        </w:rPr>
      </w:pPr>
      <w:r>
        <w:rPr>
          <w:sz w:val="22"/>
        </w:rPr>
        <w:t>OGYI-T-5060/01</w:t>
      </w:r>
    </w:p>
    <w:p w14:paraId="5BB1D057" w14:textId="77777777" w:rsidR="00653FB4" w:rsidRDefault="00653FB4">
      <w:pPr>
        <w:spacing w:line="260" w:lineRule="exact"/>
        <w:rPr>
          <w:sz w:val="22"/>
        </w:rPr>
      </w:pPr>
    </w:p>
    <w:p w14:paraId="4F92765E" w14:textId="77777777" w:rsidR="00653FB4" w:rsidRDefault="00653FB4">
      <w:pPr>
        <w:spacing w:line="260" w:lineRule="exact"/>
        <w:rPr>
          <w:sz w:val="22"/>
        </w:rPr>
      </w:pPr>
    </w:p>
    <w:p w14:paraId="40D3C90B" w14:textId="574B08C3" w:rsidR="00653FB4" w:rsidRDefault="00F82C95">
      <w:pPr>
        <w:spacing w:line="260" w:lineRule="exact"/>
        <w:ind w:left="567" w:hanging="567"/>
        <w:rPr>
          <w:b/>
          <w:bCs/>
          <w:sz w:val="22"/>
        </w:rPr>
      </w:pPr>
      <w:r>
        <w:rPr>
          <w:b/>
          <w:bCs/>
          <w:sz w:val="22"/>
        </w:rPr>
        <w:t>9.</w:t>
      </w:r>
      <w:r>
        <w:rPr>
          <w:b/>
          <w:bCs/>
          <w:sz w:val="22"/>
        </w:rPr>
        <w:tab/>
        <w:t>A FORGALOMBA</w:t>
      </w:r>
      <w:r w:rsidR="00B31B36">
        <w:rPr>
          <w:b/>
          <w:bCs/>
          <w:sz w:val="22"/>
        </w:rPr>
        <w:t xml:space="preserve"> </w:t>
      </w:r>
      <w:r>
        <w:rPr>
          <w:b/>
          <w:bCs/>
          <w:sz w:val="22"/>
        </w:rPr>
        <w:t xml:space="preserve">HOZATALI ENGEDÉLY </w:t>
      </w:r>
      <w:r w:rsidR="00B31B36">
        <w:rPr>
          <w:b/>
          <w:bCs/>
          <w:sz w:val="22"/>
        </w:rPr>
        <w:t xml:space="preserve">ELSŐ </w:t>
      </w:r>
      <w:r>
        <w:rPr>
          <w:b/>
          <w:bCs/>
          <w:sz w:val="22"/>
        </w:rPr>
        <w:t>KIADÁSÁNAK / MEGÚJÍTÁSÁNAK DÁTUMA</w:t>
      </w:r>
    </w:p>
    <w:p w14:paraId="17D47D1F" w14:textId="77777777" w:rsidR="00653FB4" w:rsidRDefault="00653FB4">
      <w:pPr>
        <w:spacing w:line="260" w:lineRule="exact"/>
        <w:rPr>
          <w:sz w:val="22"/>
        </w:rPr>
      </w:pPr>
    </w:p>
    <w:p w14:paraId="4DD0C4BC" w14:textId="6AD8A71E" w:rsidR="00653FB4" w:rsidRDefault="00F82C95">
      <w:pPr>
        <w:spacing w:line="260" w:lineRule="exact"/>
        <w:rPr>
          <w:sz w:val="22"/>
        </w:rPr>
      </w:pPr>
      <w:r>
        <w:rPr>
          <w:sz w:val="22"/>
        </w:rPr>
        <w:t xml:space="preserve">A forgalomba hozatali engedély </w:t>
      </w:r>
      <w:r w:rsidR="00B31B36">
        <w:rPr>
          <w:sz w:val="22"/>
        </w:rPr>
        <w:t xml:space="preserve">első </w:t>
      </w:r>
      <w:r>
        <w:rPr>
          <w:sz w:val="22"/>
        </w:rPr>
        <w:t>kiadásának dátuma: 1996. május 24.</w:t>
      </w:r>
    </w:p>
    <w:p w14:paraId="5E1C4E6D" w14:textId="77777777" w:rsidR="00B31B36" w:rsidRDefault="00B31B36">
      <w:pPr>
        <w:spacing w:line="260" w:lineRule="exact"/>
        <w:rPr>
          <w:sz w:val="22"/>
        </w:rPr>
      </w:pPr>
    </w:p>
    <w:p w14:paraId="5D183C28" w14:textId="6DBBF113" w:rsidR="00653FB4" w:rsidRDefault="00F82C95">
      <w:pPr>
        <w:spacing w:line="260" w:lineRule="exact"/>
        <w:rPr>
          <w:sz w:val="22"/>
        </w:rPr>
      </w:pPr>
      <w:r>
        <w:rPr>
          <w:sz w:val="22"/>
        </w:rPr>
        <w:t>A forgalomba hozatali engedély legutóbbi megújításának dátuma: 2009. február 16.</w:t>
      </w:r>
    </w:p>
    <w:p w14:paraId="05C8BEE6" w14:textId="77777777" w:rsidR="00653FB4" w:rsidRDefault="00653FB4">
      <w:pPr>
        <w:spacing w:line="260" w:lineRule="exact"/>
        <w:rPr>
          <w:sz w:val="22"/>
        </w:rPr>
      </w:pPr>
    </w:p>
    <w:p w14:paraId="01503468" w14:textId="77777777" w:rsidR="00653FB4" w:rsidRDefault="00653FB4">
      <w:pPr>
        <w:spacing w:line="260" w:lineRule="exact"/>
        <w:rPr>
          <w:sz w:val="22"/>
        </w:rPr>
      </w:pPr>
    </w:p>
    <w:p w14:paraId="7CF72BC1" w14:textId="77777777" w:rsidR="00653FB4" w:rsidRDefault="00F82C95">
      <w:pPr>
        <w:tabs>
          <w:tab w:val="left" w:pos="567"/>
        </w:tabs>
        <w:spacing w:line="260" w:lineRule="exact"/>
        <w:ind w:left="-15"/>
        <w:rPr>
          <w:b/>
          <w:bCs/>
          <w:sz w:val="22"/>
        </w:rPr>
      </w:pPr>
      <w:r>
        <w:rPr>
          <w:b/>
          <w:bCs/>
          <w:sz w:val="22"/>
        </w:rPr>
        <w:t>10.</w:t>
      </w:r>
      <w:r>
        <w:rPr>
          <w:b/>
          <w:bCs/>
          <w:sz w:val="22"/>
        </w:rPr>
        <w:tab/>
        <w:t>A SZÖVEG ELLENŐRZÉSÉNEK DÁTUMA</w:t>
      </w:r>
    </w:p>
    <w:p w14:paraId="3156913D" w14:textId="77777777" w:rsidR="00653FB4" w:rsidRDefault="00653FB4">
      <w:pPr>
        <w:spacing w:line="260" w:lineRule="exact"/>
        <w:ind w:left="-15"/>
        <w:rPr>
          <w:sz w:val="22"/>
        </w:rPr>
      </w:pPr>
    </w:p>
    <w:p w14:paraId="610E956B" w14:textId="40E07C30" w:rsidR="00653FB4" w:rsidRDefault="0009636C">
      <w:pPr>
        <w:spacing w:line="260" w:lineRule="exact"/>
        <w:ind w:left="-15"/>
        <w:rPr>
          <w:sz w:val="22"/>
        </w:rPr>
      </w:pPr>
      <w:r>
        <w:rPr>
          <w:sz w:val="22"/>
        </w:rPr>
        <w:t>202</w:t>
      </w:r>
      <w:r w:rsidR="004B3D6E">
        <w:rPr>
          <w:sz w:val="22"/>
        </w:rPr>
        <w:t>6</w:t>
      </w:r>
      <w:r>
        <w:rPr>
          <w:sz w:val="22"/>
        </w:rPr>
        <w:t xml:space="preserve">. </w:t>
      </w:r>
      <w:r w:rsidR="004B3D6E">
        <w:rPr>
          <w:sz w:val="22"/>
        </w:rPr>
        <w:t>február</w:t>
      </w:r>
      <w:r>
        <w:rPr>
          <w:sz w:val="22"/>
        </w:rPr>
        <w:t xml:space="preserve"> </w:t>
      </w:r>
      <w:r w:rsidR="004B3D6E">
        <w:rPr>
          <w:sz w:val="22"/>
        </w:rPr>
        <w:t>2</w:t>
      </w:r>
      <w:r>
        <w:rPr>
          <w:sz w:val="22"/>
        </w:rPr>
        <w:t>6.</w:t>
      </w:r>
    </w:p>
    <w:sectPr w:rsidR="00653FB4">
      <w:headerReference w:type="default" r:id="rId8"/>
      <w:headerReference w:type="first" r:id="rId9"/>
      <w:footerReference w:type="first" r:id="rId10"/>
      <w:footnotePr>
        <w:pos w:val="beneathText"/>
      </w:footnotePr>
      <w:pgSz w:w="11905" w:h="16837" w:code="9"/>
      <w:pgMar w:top="1134" w:right="1273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FBCFC" w14:textId="77777777" w:rsidR="003407AB" w:rsidRDefault="003407AB">
      <w:r>
        <w:separator/>
      </w:r>
    </w:p>
  </w:endnote>
  <w:endnote w:type="continuationSeparator" w:id="0">
    <w:p w14:paraId="0FF735D2" w14:textId="77777777" w:rsidR="003407AB" w:rsidRDefault="00340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tarSymbol">
    <w:altName w:val="Arial Unicode MS"/>
    <w:charset w:val="02"/>
    <w:family w:val="auto"/>
    <w:pitch w:val="default"/>
  </w:font>
  <w:font w:name="Tahoma">
    <w:altName w:val="Verdan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21E3BB" w14:textId="7F091660" w:rsidR="00653FB4" w:rsidRDefault="00FE6662">
    <w:pPr>
      <w:pStyle w:val="llb"/>
    </w:pPr>
    <w:r w:rsidRPr="00FE6662">
      <w:rPr>
        <w:sz w:val="18"/>
        <w:szCs w:val="18"/>
      </w:rPr>
      <w:t>NNGYK/ETGY/7652/2026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9F20C" w14:textId="77777777" w:rsidR="003407AB" w:rsidRDefault="003407AB">
      <w:r>
        <w:separator/>
      </w:r>
    </w:p>
  </w:footnote>
  <w:footnote w:type="continuationSeparator" w:id="0">
    <w:p w14:paraId="27A5F808" w14:textId="77777777" w:rsidR="003407AB" w:rsidRDefault="00340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2A417" w14:textId="7A32857A" w:rsidR="00653FB4" w:rsidRDefault="00F82C95">
    <w:pPr>
      <w:pStyle w:val="lfej"/>
      <w:jc w:val="center"/>
    </w:pPr>
    <w:r>
      <w:rPr>
        <w:sz w:val="20"/>
      </w:rPr>
      <w:fldChar w:fldCharType="begin"/>
    </w:r>
    <w:r>
      <w:rPr>
        <w:sz w:val="20"/>
      </w:rPr>
      <w:instrText xml:space="preserve"> PAGE \*ARABIC </w:instrText>
    </w:r>
    <w:r>
      <w:rPr>
        <w:sz w:val="20"/>
      </w:rPr>
      <w:fldChar w:fldCharType="separate"/>
    </w:r>
    <w:r w:rsidR="00730D89">
      <w:rPr>
        <w:noProof/>
        <w:sz w:val="20"/>
      </w:rPr>
      <w:t>6</w:t>
    </w:r>
    <w:r>
      <w:rPr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03586" w14:textId="77777777" w:rsidR="00653FB4" w:rsidRDefault="00653FB4">
    <w:pPr>
      <w:tabs>
        <w:tab w:val="center" w:pos="1843"/>
        <w:tab w:val="left" w:pos="5940"/>
        <w:tab w:val="left" w:pos="6675"/>
      </w:tabs>
      <w:spacing w:line="100" w:lineRule="atLeast"/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multilevel"/>
    <w:tmpl w:val="00000007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A8366E8"/>
    <w:multiLevelType w:val="hybridMultilevel"/>
    <w:tmpl w:val="6360CD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444C8"/>
    <w:multiLevelType w:val="multilevel"/>
    <w:tmpl w:val="F7924F3E"/>
    <w:lvl w:ilvl="0">
      <w:start w:val="1"/>
      <w:numFmt w:val="bullet"/>
      <w:lvlText w:val="-"/>
      <w:lvlJc w:val="left"/>
      <w:pPr>
        <w:tabs>
          <w:tab w:val="num" w:pos="207"/>
        </w:tabs>
        <w:ind w:left="207" w:hanging="207"/>
      </w:pPr>
      <w:rPr>
        <w:rFonts w:ascii="Dotum" w:eastAsia="Dotum" w:hAnsi="Dotum" w:cs="Dotum"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211735B4"/>
    <w:multiLevelType w:val="hybridMultilevel"/>
    <w:tmpl w:val="EFC4DA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8052E"/>
    <w:multiLevelType w:val="multilevel"/>
    <w:tmpl w:val="EDD4615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44924E55"/>
    <w:multiLevelType w:val="hybridMultilevel"/>
    <w:tmpl w:val="F26A72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79079C"/>
    <w:multiLevelType w:val="hybridMultilevel"/>
    <w:tmpl w:val="A05EE4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08265C"/>
    <w:multiLevelType w:val="hybridMultilevel"/>
    <w:tmpl w:val="82DA4678"/>
    <w:lvl w:ilvl="0" w:tplc="83F26D26">
      <w:start w:val="1"/>
      <w:numFmt w:val="bullet"/>
      <w:lvlText w:val="-"/>
      <w:lvlJc w:val="left"/>
      <w:pPr>
        <w:tabs>
          <w:tab w:val="num" w:pos="567"/>
        </w:tabs>
        <w:ind w:left="567" w:hanging="207"/>
      </w:pPr>
      <w:rPr>
        <w:rFonts w:ascii="Dotum" w:eastAsia="Dotum" w:hAnsi="Dotum" w:cs="Dotum" w:hint="eastAsia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A5465B"/>
    <w:multiLevelType w:val="hybridMultilevel"/>
    <w:tmpl w:val="8716F1DA"/>
    <w:lvl w:ilvl="0" w:tplc="83F26D26">
      <w:start w:val="1"/>
      <w:numFmt w:val="bullet"/>
      <w:lvlText w:val="-"/>
      <w:lvlJc w:val="left"/>
      <w:pPr>
        <w:tabs>
          <w:tab w:val="num" w:pos="927"/>
        </w:tabs>
        <w:ind w:left="927" w:hanging="207"/>
      </w:pPr>
      <w:rPr>
        <w:rFonts w:ascii="Dotum" w:eastAsia="Dotum" w:hAnsi="Dotum" w:cs="Dotum" w:hint="eastAsia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E2B5D49"/>
    <w:multiLevelType w:val="hybridMultilevel"/>
    <w:tmpl w:val="22765BCC"/>
    <w:name w:val="WW8Num42"/>
    <w:lvl w:ilvl="0" w:tplc="83F26D26">
      <w:start w:val="1"/>
      <w:numFmt w:val="bullet"/>
      <w:lvlText w:val="-"/>
      <w:lvlJc w:val="left"/>
      <w:pPr>
        <w:tabs>
          <w:tab w:val="num" w:pos="567"/>
        </w:tabs>
        <w:ind w:left="567" w:hanging="207"/>
      </w:pPr>
      <w:rPr>
        <w:rFonts w:ascii="Dotum" w:eastAsia="Dotum" w:hAnsi="Dotum" w:cs="Dotum" w:hint="eastAsia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EE3444"/>
    <w:multiLevelType w:val="hybridMultilevel"/>
    <w:tmpl w:val="8A988B02"/>
    <w:lvl w:ilvl="0" w:tplc="41C82ADE">
      <w:start w:val="5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5"/>
  </w:num>
  <w:num w:numId="9">
    <w:abstractNumId w:val="8"/>
  </w:num>
  <w:num w:numId="10">
    <w:abstractNumId w:val="10"/>
  </w:num>
  <w:num w:numId="11">
    <w:abstractNumId w:val="13"/>
  </w:num>
  <w:num w:numId="12">
    <w:abstractNumId w:val="14"/>
  </w:num>
  <w:num w:numId="13">
    <w:abstractNumId w:val="7"/>
  </w:num>
  <w:num w:numId="14">
    <w:abstractNumId w:val="12"/>
  </w:num>
  <w:num w:numId="15">
    <w:abstractNumId w:val="11"/>
  </w:num>
  <w:num w:numId="16">
    <w:abstractNumId w:val="9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FB4"/>
    <w:rsid w:val="00066086"/>
    <w:rsid w:val="0009636C"/>
    <w:rsid w:val="000F1FFE"/>
    <w:rsid w:val="000F5A94"/>
    <w:rsid w:val="001409DA"/>
    <w:rsid w:val="00184684"/>
    <w:rsid w:val="001D3E31"/>
    <w:rsid w:val="00213CD6"/>
    <w:rsid w:val="002158FE"/>
    <w:rsid w:val="0023237D"/>
    <w:rsid w:val="00274AEA"/>
    <w:rsid w:val="00284C32"/>
    <w:rsid w:val="002E7A35"/>
    <w:rsid w:val="003407AB"/>
    <w:rsid w:val="003E18A1"/>
    <w:rsid w:val="00414E7B"/>
    <w:rsid w:val="004251D4"/>
    <w:rsid w:val="00437500"/>
    <w:rsid w:val="004415F2"/>
    <w:rsid w:val="004B3D6E"/>
    <w:rsid w:val="004C4053"/>
    <w:rsid w:val="00542038"/>
    <w:rsid w:val="005649DF"/>
    <w:rsid w:val="00614DED"/>
    <w:rsid w:val="00645593"/>
    <w:rsid w:val="00653FB4"/>
    <w:rsid w:val="006607D3"/>
    <w:rsid w:val="006C2BE3"/>
    <w:rsid w:val="006E1C4A"/>
    <w:rsid w:val="006E25A7"/>
    <w:rsid w:val="006F5D14"/>
    <w:rsid w:val="00703BC0"/>
    <w:rsid w:val="007258C8"/>
    <w:rsid w:val="00730D89"/>
    <w:rsid w:val="00741182"/>
    <w:rsid w:val="0078242D"/>
    <w:rsid w:val="0078715A"/>
    <w:rsid w:val="007B392A"/>
    <w:rsid w:val="007C7098"/>
    <w:rsid w:val="007E2CCE"/>
    <w:rsid w:val="00800FD4"/>
    <w:rsid w:val="00810594"/>
    <w:rsid w:val="008272B8"/>
    <w:rsid w:val="00897919"/>
    <w:rsid w:val="00915196"/>
    <w:rsid w:val="00937575"/>
    <w:rsid w:val="00967560"/>
    <w:rsid w:val="009C14A7"/>
    <w:rsid w:val="00A428E3"/>
    <w:rsid w:val="00AD6099"/>
    <w:rsid w:val="00AE22DA"/>
    <w:rsid w:val="00B24E06"/>
    <w:rsid w:val="00B31B36"/>
    <w:rsid w:val="00B418C4"/>
    <w:rsid w:val="00BB0F1A"/>
    <w:rsid w:val="00BC32EF"/>
    <w:rsid w:val="00BE0348"/>
    <w:rsid w:val="00DA286E"/>
    <w:rsid w:val="00DA392E"/>
    <w:rsid w:val="00DB585A"/>
    <w:rsid w:val="00DC6C51"/>
    <w:rsid w:val="00EC2DCB"/>
    <w:rsid w:val="00F43E68"/>
    <w:rsid w:val="00F82C95"/>
    <w:rsid w:val="00F85E48"/>
    <w:rsid w:val="00FA604F"/>
    <w:rsid w:val="00FA6D13"/>
    <w:rsid w:val="00FD288E"/>
    <w:rsid w:val="00FE6662"/>
    <w:rsid w:val="00FF1E1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FB7AB"/>
  <w15:chartTrackingRefBased/>
  <w15:docId w15:val="{D33E2F58-CD5B-4070-919F-A6B0BAE7A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ngXian" w:hAnsi="Times New Roman" w:cs="Arial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szCs w:val="24"/>
      <w:lang w:eastAsia="zh-CN"/>
    </w:rPr>
  </w:style>
  <w:style w:type="paragraph" w:styleId="Cmsor1">
    <w:name w:val="heading 1"/>
    <w:basedOn w:val="Norml"/>
    <w:next w:val="Norml"/>
    <w:qFormat/>
    <w:pPr>
      <w:keepNext/>
      <w:numPr>
        <w:numId w:val="7"/>
      </w:numPr>
      <w:outlineLvl w:val="0"/>
    </w:pPr>
    <w:rPr>
      <w:i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sz w:val="26"/>
    </w:rPr>
  </w:style>
  <w:style w:type="paragraph" w:styleId="Cmsor3">
    <w:name w:val="heading 3"/>
    <w:basedOn w:val="Norml"/>
    <w:next w:val="Norml"/>
    <w:qFormat/>
    <w:pPr>
      <w:keepNext/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ind w:right="-1"/>
      <w:outlineLvl w:val="3"/>
    </w:pPr>
    <w:rPr>
      <w:i/>
    </w:rPr>
  </w:style>
  <w:style w:type="paragraph" w:styleId="Cmsor5">
    <w:name w:val="heading 5"/>
    <w:basedOn w:val="Norml"/>
    <w:next w:val="Norml"/>
    <w:qFormat/>
    <w:pPr>
      <w:keepNext/>
      <w:outlineLvl w:val="4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-WW8Num2z0">
    <w:name w:val="WW-WW8Num2z0"/>
    <w:rPr>
      <w:rFonts w:ascii="Symbol" w:hAnsi="Symbol"/>
    </w:rPr>
  </w:style>
  <w:style w:type="character" w:customStyle="1" w:styleId="WW-WW8Num3z0">
    <w:name w:val="WW-WW8Num3z0"/>
    <w:rPr>
      <w:rFonts w:ascii="Symbol" w:hAnsi="Symbol"/>
    </w:rPr>
  </w:style>
  <w:style w:type="character" w:customStyle="1" w:styleId="WW-WW8Num4z0">
    <w:name w:val="WW-WW8Num4z0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-WW8Num2z01">
    <w:name w:val="WW-WW8Num2z01"/>
    <w:rPr>
      <w:rFonts w:ascii="Symbol" w:hAnsi="Symbol"/>
    </w:rPr>
  </w:style>
  <w:style w:type="character" w:customStyle="1" w:styleId="WW-WW8Num3z01">
    <w:name w:val="WW-WW8Num3z01"/>
    <w:rPr>
      <w:rFonts w:ascii="Symbol" w:hAnsi="Symbol"/>
    </w:rPr>
  </w:style>
  <w:style w:type="character" w:customStyle="1" w:styleId="WW-WW8Num4z01">
    <w:name w:val="WW-WW8Num4z01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-WW8Num4z011">
    <w:name w:val="WW-WW8Num4z011"/>
    <w:rPr>
      <w:rFonts w:ascii="Symbol" w:hAnsi="Symbol"/>
    </w:rPr>
  </w:style>
  <w:style w:type="character" w:customStyle="1" w:styleId="WW8NumSt1z0">
    <w:name w:val="WW8NumSt1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St9z0">
    <w:name w:val="WW8NumSt9z0"/>
    <w:rPr>
      <w:rFonts w:ascii="Symbol" w:hAnsi="Symbol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1">
    <w:name w:val="WW-Felirat1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1">
    <w:name w:val="WW-Tárgymutató1"/>
    <w:basedOn w:val="Norml"/>
    <w:pPr>
      <w:suppressLineNumbers/>
    </w:pPr>
    <w:rPr>
      <w:rFonts w:cs="Tahoma"/>
    </w:rPr>
  </w:style>
  <w:style w:type="paragraph" w:customStyle="1" w:styleId="WW-Cmsor1">
    <w:name w:val="WW-Címsor1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behzssal">
    <w:name w:val="Body Text Indent"/>
    <w:basedOn w:val="Norml"/>
    <w:pPr>
      <w:ind w:right="-196"/>
      <w:jc w:val="center"/>
    </w:pPr>
    <w:rPr>
      <w:sz w:val="26"/>
    </w:rPr>
  </w:style>
  <w:style w:type="paragraph" w:customStyle="1" w:styleId="WW-Cmsor11">
    <w:name w:val="WW-Címsor11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fej">
    <w:name w:val="header"/>
    <w:basedOn w:val="Norml"/>
    <w:pPr>
      <w:suppressLineNumbers/>
      <w:tabs>
        <w:tab w:val="center" w:pos="4818"/>
        <w:tab w:val="right" w:pos="9637"/>
      </w:tabs>
    </w:pPr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Hiperhivatkozs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WW-Tblzattartalom1">
    <w:name w:val="WW-Táblázattartalom1"/>
    <w:basedOn w:val="Szvegtrzs"/>
    <w:pPr>
      <w:suppressLineNumbers/>
    </w:pPr>
  </w:style>
  <w:style w:type="paragraph" w:customStyle="1" w:styleId="WW-Tblzattartalom11">
    <w:name w:val="WW-Táblázattartalom11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pPr>
      <w:jc w:val="center"/>
    </w:pPr>
    <w:rPr>
      <w:b/>
      <w:bCs/>
      <w:i/>
      <w:iCs/>
    </w:rPr>
  </w:style>
  <w:style w:type="paragraph" w:customStyle="1" w:styleId="WW-Tblzatfejlc1">
    <w:name w:val="WW-Táblázatfejléc1"/>
    <w:basedOn w:val="WW-Tblzattartalom1"/>
    <w:pPr>
      <w:jc w:val="center"/>
    </w:pPr>
    <w:rPr>
      <w:b/>
      <w:bCs/>
      <w:i/>
      <w:iCs/>
    </w:rPr>
  </w:style>
  <w:style w:type="paragraph" w:customStyle="1" w:styleId="WW-Tblzatfejlc11">
    <w:name w:val="WW-Táblázatfejléc11"/>
    <w:basedOn w:val="WW-Tblzattartalom11"/>
    <w:pPr>
      <w:jc w:val="center"/>
    </w:pPr>
    <w:rPr>
      <w:b/>
      <w:bCs/>
      <w:i/>
      <w:iCs/>
    </w:rPr>
  </w:style>
  <w:style w:type="paragraph" w:customStyle="1" w:styleId="WW-Felirat11">
    <w:name w:val="WW-Felirat11"/>
    <w:basedOn w:val="Norml"/>
    <w:pPr>
      <w:suppressLineNumbers/>
      <w:spacing w:before="120" w:after="120"/>
    </w:pPr>
    <w:rPr>
      <w:i/>
      <w:iCs/>
      <w:sz w:val="20"/>
      <w:szCs w:val="2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WW-Trgymutat11">
    <w:name w:val="WW-Tárgymutató11"/>
    <w:basedOn w:val="Norml"/>
    <w:pPr>
      <w:suppressLineNumbers/>
    </w:pPr>
  </w:style>
  <w:style w:type="paragraph" w:customStyle="1" w:styleId="Szvegtrzs21">
    <w:name w:val="Szövegtörzs 21"/>
    <w:basedOn w:val="Norml"/>
  </w:style>
  <w:style w:type="paragraph" w:customStyle="1" w:styleId="Szvegtrzs31">
    <w:name w:val="Szövegtörzs 31"/>
    <w:basedOn w:val="Norml"/>
    <w:rPr>
      <w:strike/>
      <w:color w:val="FF0000"/>
    </w:rPr>
  </w:style>
  <w:style w:type="paragraph" w:customStyle="1" w:styleId="WW-Szvegtrzs3">
    <w:name w:val="WW-Szövegtörzs 3"/>
    <w:basedOn w:val="Norml"/>
    <w:pPr>
      <w:ind w:right="-57"/>
    </w:pPr>
    <w:rPr>
      <w:sz w:val="26"/>
    </w:rPr>
  </w:style>
  <w:style w:type="paragraph" w:customStyle="1" w:styleId="WW-Szvegtrzs2">
    <w:name w:val="WW-Szövegtörzs 2"/>
    <w:basedOn w:val="Norml"/>
    <w:rPr>
      <w:sz w:val="26"/>
    </w:rPr>
  </w:style>
  <w:style w:type="paragraph" w:customStyle="1" w:styleId="WW-BodyText2">
    <w:name w:val="WW-Body Text 2"/>
    <w:basedOn w:val="Norml"/>
  </w:style>
  <w:style w:type="paragraph" w:customStyle="1" w:styleId="Norml1">
    <w:name w:val="Normál1"/>
    <w:basedOn w:val="Norml"/>
    <w:rPr>
      <w:sz w:val="20"/>
    </w:rPr>
  </w:style>
  <w:style w:type="paragraph" w:customStyle="1" w:styleId="WW-BodyTextIndent2">
    <w:name w:val="WW-Body Text Indent 2"/>
    <w:basedOn w:val="Norml"/>
    <w:pPr>
      <w:ind w:left="357"/>
    </w:pPr>
  </w:style>
  <w:style w:type="paragraph" w:customStyle="1" w:styleId="WW-BodyText3">
    <w:name w:val="WW-Body Text 3"/>
    <w:basedOn w:val="Norml"/>
    <w:pPr>
      <w:spacing w:line="360" w:lineRule="auto"/>
    </w:pPr>
  </w:style>
  <w:style w:type="paragraph" w:customStyle="1" w:styleId="WW-Szvegblokk">
    <w:name w:val="WW-Szövegblokk"/>
    <w:basedOn w:val="Norml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pPr>
      <w:ind w:left="345"/>
    </w:pPr>
    <w:rPr>
      <w:i/>
      <w:iCs/>
    </w:rPr>
  </w:style>
  <w:style w:type="paragraph" w:customStyle="1" w:styleId="Paragraph">
    <w:name w:val="Paragraph"/>
    <w:basedOn w:val="Norml"/>
    <w:pPr>
      <w:spacing w:after="60"/>
      <w:ind w:left="425"/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styleId="Hiperhivatkozs">
    <w:name w:val="Hyperlink"/>
    <w:aliases w:val="Élőláb Char,Footer Char2 Char,Footer Char1 Char Char,Footer Char2 Char Char1 Char,Footer Char1 Char Char Char Char,Footer Char2 Char Char1 Char Char Char,Footer Char1 Char Char Char Char1 Char Char"/>
    <w:link w:val="llb"/>
    <w:rPr>
      <w:rFonts w:eastAsia="HG Mincho Light J"/>
      <w:color w:val="000000"/>
      <w:sz w:val="24"/>
      <w:szCs w:val="24"/>
    </w:rPr>
  </w:style>
  <w:style w:type="character" w:customStyle="1" w:styleId="JegyzetszvegChar">
    <w:name w:val="Jegyzetszöveg Char"/>
    <w:link w:val="Jegyzetszveg"/>
    <w:semiHidden/>
    <w:rPr>
      <w:rFonts w:eastAsia="HG Mincho Light J"/>
      <w:color w:val="000000"/>
    </w:rPr>
  </w:style>
  <w:style w:type="paragraph" w:styleId="Vltozat">
    <w:name w:val="Revision"/>
    <w:hidden/>
    <w:uiPriority w:val="99"/>
    <w:semiHidden/>
    <w:rsid w:val="00BC32EF"/>
    <w:rPr>
      <w:rFonts w:eastAsia="HG Mincho Light J"/>
      <w:color w:val="000000"/>
      <w:sz w:val="24"/>
      <w:szCs w:val="24"/>
      <w:lang w:eastAsia="zh-CN"/>
    </w:rPr>
  </w:style>
  <w:style w:type="character" w:styleId="Mrltotthiperhivatkozs">
    <w:name w:val="FollowedHyperlink"/>
    <w:basedOn w:val="Bekezdsalapbettpusa"/>
    <w:rsid w:val="00BE03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2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1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1833</Words>
  <Characters>12655</Characters>
  <Application>Microsoft Office Word</Application>
  <DocSecurity>0</DocSecurity>
  <Lines>105</Lines>
  <Paragraphs>28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sanofi-aventis</Company>
  <LinksUpToDate>false</LinksUpToDate>
  <CharactersWithSpaces>14460</CharactersWithSpaces>
  <SharedDoc>false</SharedDoc>
  <HLinks>
    <vt:vector size="18" baseType="variant">
      <vt:variant>
        <vt:i4>7143490</vt:i4>
      </vt:variant>
      <vt:variant>
        <vt:i4>9</vt:i4>
      </vt:variant>
      <vt:variant>
        <vt:i4>0</vt:i4>
      </vt:variant>
      <vt:variant>
        <vt:i4>5</vt:i4>
      </vt:variant>
      <vt:variant>
        <vt:lpwstr>mailto:adr.box@ogyei.gov.hu</vt:lpwstr>
      </vt:variant>
      <vt:variant>
        <vt:lpwstr/>
      </vt:variant>
      <vt:variant>
        <vt:i4>4522061</vt:i4>
      </vt:variant>
      <vt:variant>
        <vt:i4>6</vt:i4>
      </vt:variant>
      <vt:variant>
        <vt:i4>0</vt:i4>
      </vt:variant>
      <vt:variant>
        <vt:i4>5</vt:i4>
      </vt:variant>
      <vt:variant>
        <vt:lpwstr>https://mellekhatas.ogyei.gov.hu/</vt:lpwstr>
      </vt:variant>
      <vt:variant>
        <vt:lpwstr/>
      </vt:variant>
      <vt:variant>
        <vt:i4>6684726</vt:i4>
      </vt:variant>
      <vt:variant>
        <vt:i4>3</vt:i4>
      </vt:variant>
      <vt:variant>
        <vt:i4>0</vt:i4>
      </vt:variant>
      <vt:variant>
        <vt:i4>5</vt:i4>
      </vt:variant>
      <vt:variant>
        <vt:lpwstr>http://www.ogyi.hu/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MedRep</dc:creator>
  <cp:keywords/>
  <cp:lastModifiedBy>HU_OGYEI_16.1.2</cp:lastModifiedBy>
  <cp:revision>3</cp:revision>
  <cp:lastPrinted>2013-03-14T13:03:00Z</cp:lastPrinted>
  <dcterms:created xsi:type="dcterms:W3CDTF">2026-04-10T15:03:00Z</dcterms:created>
  <dcterms:modified xsi:type="dcterms:W3CDTF">2026-04-10T15:03:00Z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